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25A1" w14:textId="7D0F9614" w:rsidR="00882172" w:rsidRPr="00B07608" w:rsidRDefault="0084425A" w:rsidP="0084425A">
      <w:pPr>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Appendix </w:t>
      </w:r>
      <w:r w:rsidR="00482569" w:rsidRPr="00B07608">
        <w:rPr>
          <w:rFonts w:ascii="Times New Roman" w:eastAsia="宋体" w:hAnsi="Times New Roman" w:cs="Times New Roman"/>
          <w:sz w:val="22"/>
        </w:rPr>
        <w:t>1</w:t>
      </w:r>
      <w:r w:rsidRPr="00B07608">
        <w:rPr>
          <w:rFonts w:ascii="Times New Roman" w:eastAsia="宋体" w:hAnsi="Times New Roman" w:cs="Times New Roman"/>
          <w:sz w:val="22"/>
        </w:rPr>
        <w:t>:</w:t>
      </w:r>
    </w:p>
    <w:p w14:paraId="0FA63597" w14:textId="32225782" w:rsidR="0084425A" w:rsidRPr="00B07608" w:rsidRDefault="00482569" w:rsidP="003A2017">
      <w:pPr>
        <w:pStyle w:val="1"/>
      </w:pPr>
      <w:r w:rsidRPr="00B07608">
        <w:t>Detailed Rules for Performance-Guarantee Price Asking Trading of Shanghai Gold Exchange</w:t>
      </w:r>
    </w:p>
    <w:p w14:paraId="6A83D16B" w14:textId="14CB74BB" w:rsidR="003A2017" w:rsidRPr="00B07608" w:rsidRDefault="003A2017" w:rsidP="003A2017">
      <w:pPr>
        <w:snapToGrid w:val="0"/>
        <w:spacing w:afterLines="100" w:after="312" w:line="276" w:lineRule="auto"/>
        <w:jc w:val="center"/>
        <w:rPr>
          <w:rFonts w:ascii="Times New Roman" w:eastAsia="宋体" w:hAnsi="Times New Roman" w:cs="Times New Roman"/>
          <w:b/>
          <w:sz w:val="28"/>
          <w:szCs w:val="28"/>
        </w:rPr>
      </w:pPr>
    </w:p>
    <w:p w14:paraId="742C82FD" w14:textId="19DC9971" w:rsidR="0084425A" w:rsidRPr="00B07608" w:rsidRDefault="0084425A" w:rsidP="0084425A">
      <w:pPr>
        <w:snapToGrid w:val="0"/>
        <w:spacing w:afterLines="100" w:after="312" w:line="276" w:lineRule="auto"/>
        <w:jc w:val="center"/>
        <w:rPr>
          <w:rFonts w:ascii="Times New Roman" w:eastAsia="宋体" w:hAnsi="Times New Roman" w:cs="Times New Roman"/>
          <w:b/>
          <w:sz w:val="24"/>
          <w:szCs w:val="24"/>
        </w:rPr>
      </w:pPr>
      <w:r w:rsidRPr="00B07608">
        <w:rPr>
          <w:rFonts w:ascii="Times New Roman" w:eastAsia="宋体" w:hAnsi="Times New Roman" w:cs="Times New Roman"/>
          <w:b/>
          <w:sz w:val="24"/>
          <w:szCs w:val="24"/>
        </w:rPr>
        <w:t>Contents</w:t>
      </w:r>
    </w:p>
    <w:p w14:paraId="037F8F30" w14:textId="53C2E610" w:rsidR="00DF087B"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I</w:t>
      </w:r>
      <w:r w:rsidRPr="00B07608">
        <w:rPr>
          <w:rFonts w:ascii="Times New Roman" w:eastAsia="宋体" w:hAnsi="Times New Roman" w:cs="Times New Roman"/>
          <w:sz w:val="22"/>
        </w:rPr>
        <w:tab/>
        <w:t>General Provisions</w:t>
      </w:r>
    </w:p>
    <w:p w14:paraId="4FA4DC8F" w14:textId="7700E21B" w:rsidR="00DF087B"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II</w:t>
      </w:r>
      <w:r w:rsidRPr="00B07608">
        <w:rPr>
          <w:rFonts w:ascii="Times New Roman" w:eastAsia="宋体" w:hAnsi="Times New Roman" w:cs="Times New Roman"/>
          <w:sz w:val="22"/>
        </w:rPr>
        <w:tab/>
        <w:t>Products and Contracts</w:t>
      </w:r>
    </w:p>
    <w:p w14:paraId="02AE35AA" w14:textId="77EF0E08" w:rsidR="00DF087B"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III</w:t>
      </w:r>
      <w:r w:rsidRPr="00B07608">
        <w:rPr>
          <w:rFonts w:ascii="Times New Roman" w:eastAsia="宋体" w:hAnsi="Times New Roman" w:cs="Times New Roman"/>
          <w:sz w:val="22"/>
        </w:rPr>
        <w:tab/>
        <w:t>Market Participants</w:t>
      </w:r>
    </w:p>
    <w:p w14:paraId="704D7AD2" w14:textId="77777777" w:rsidR="00DF087B"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IV</w:t>
      </w:r>
      <w:r w:rsidRPr="00B07608">
        <w:rPr>
          <w:rFonts w:ascii="Times New Roman" w:eastAsia="宋体" w:hAnsi="Times New Roman" w:cs="Times New Roman"/>
          <w:sz w:val="22"/>
        </w:rPr>
        <w:tab/>
        <w:t>Trading, Registration and Confirmation</w:t>
      </w:r>
    </w:p>
    <w:p w14:paraId="676DAFBE" w14:textId="77777777" w:rsidR="00DF087B"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V</w:t>
      </w:r>
      <w:r w:rsidRPr="00B07608">
        <w:rPr>
          <w:rFonts w:ascii="Times New Roman" w:eastAsia="宋体" w:hAnsi="Times New Roman" w:cs="Times New Roman"/>
          <w:sz w:val="22"/>
        </w:rPr>
        <w:tab/>
        <w:t>Risk Management</w:t>
      </w:r>
    </w:p>
    <w:p w14:paraId="75FBFAB1" w14:textId="28FA3C39" w:rsidR="00DF087B"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VI</w:t>
      </w:r>
      <w:r w:rsidRPr="00B07608">
        <w:rPr>
          <w:rFonts w:ascii="Times New Roman" w:eastAsia="宋体" w:hAnsi="Times New Roman" w:cs="Times New Roman"/>
          <w:sz w:val="22"/>
        </w:rPr>
        <w:tab/>
        <w:t>Clearing, Settlement and Delivery</w:t>
      </w:r>
    </w:p>
    <w:p w14:paraId="5ECD3D01" w14:textId="77777777" w:rsidR="00DF087B"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VII</w:t>
      </w:r>
      <w:r w:rsidRPr="00B07608">
        <w:rPr>
          <w:rFonts w:ascii="Times New Roman" w:eastAsia="宋体" w:hAnsi="Times New Roman" w:cs="Times New Roman"/>
          <w:sz w:val="22"/>
        </w:rPr>
        <w:tab/>
        <w:t>Emergency Operations</w:t>
      </w:r>
    </w:p>
    <w:p w14:paraId="02AA2E00" w14:textId="77777777" w:rsidR="00DF087B"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VIII</w:t>
      </w:r>
      <w:r w:rsidRPr="00B07608">
        <w:rPr>
          <w:rFonts w:ascii="Times New Roman" w:eastAsia="宋体" w:hAnsi="Times New Roman" w:cs="Times New Roman"/>
          <w:sz w:val="22"/>
        </w:rPr>
        <w:tab/>
        <w:t>Information Management</w:t>
      </w:r>
    </w:p>
    <w:p w14:paraId="55B37949" w14:textId="06BEF535" w:rsidR="00DF087B"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IX</w:t>
      </w:r>
      <w:r w:rsidRPr="00B07608">
        <w:rPr>
          <w:rFonts w:ascii="Times New Roman" w:eastAsia="宋体" w:hAnsi="Times New Roman" w:cs="Times New Roman"/>
          <w:sz w:val="22"/>
        </w:rPr>
        <w:tab/>
        <w:t xml:space="preserve">Supervision and </w:t>
      </w:r>
      <w:r w:rsidR="003A2017" w:rsidRPr="00B07608">
        <w:rPr>
          <w:rFonts w:ascii="Times New Roman" w:eastAsia="宋体" w:hAnsi="Times New Roman" w:cs="Times New Roman"/>
          <w:sz w:val="22"/>
        </w:rPr>
        <w:t>Administration</w:t>
      </w:r>
    </w:p>
    <w:p w14:paraId="76629A93" w14:textId="6140C3B4" w:rsidR="0084425A" w:rsidRPr="00B07608" w:rsidRDefault="00DF087B" w:rsidP="00DF087B">
      <w:pPr>
        <w:tabs>
          <w:tab w:val="left" w:pos="3686"/>
        </w:tabs>
        <w:snapToGrid w:val="0"/>
        <w:spacing w:afterLines="100" w:after="312" w:line="276" w:lineRule="auto"/>
        <w:ind w:firstLineChars="902" w:firstLine="1984"/>
        <w:jc w:val="left"/>
        <w:rPr>
          <w:rFonts w:ascii="Times New Roman" w:eastAsia="宋体" w:hAnsi="Times New Roman" w:cs="Times New Roman"/>
          <w:sz w:val="22"/>
        </w:rPr>
      </w:pPr>
      <w:r w:rsidRPr="00B07608">
        <w:rPr>
          <w:rFonts w:ascii="Times New Roman" w:eastAsia="宋体" w:hAnsi="Times New Roman" w:cs="Times New Roman"/>
          <w:sz w:val="22"/>
        </w:rPr>
        <w:t>Chapter X</w:t>
      </w:r>
      <w:r w:rsidRPr="00B07608">
        <w:rPr>
          <w:rFonts w:ascii="Times New Roman" w:eastAsia="宋体" w:hAnsi="Times New Roman" w:cs="Times New Roman"/>
          <w:sz w:val="22"/>
        </w:rPr>
        <w:tab/>
        <w:t>Ancillary Provisions</w:t>
      </w:r>
    </w:p>
    <w:p w14:paraId="01D8D548" w14:textId="1F055831" w:rsidR="004738ED" w:rsidRPr="00B07608" w:rsidRDefault="004738ED">
      <w:pPr>
        <w:widowControl/>
        <w:jc w:val="left"/>
        <w:rPr>
          <w:rFonts w:ascii="Times New Roman" w:eastAsia="宋体" w:hAnsi="Times New Roman" w:cs="Times New Roman"/>
          <w:sz w:val="22"/>
        </w:rPr>
      </w:pPr>
      <w:r w:rsidRPr="00B07608">
        <w:rPr>
          <w:rFonts w:ascii="Times New Roman" w:eastAsia="宋体" w:hAnsi="Times New Roman" w:cs="Times New Roman"/>
          <w:sz w:val="22"/>
        </w:rPr>
        <w:br w:type="page"/>
      </w:r>
    </w:p>
    <w:p w14:paraId="30691039" w14:textId="77777777" w:rsidR="00BC6D0C" w:rsidRPr="00B07608" w:rsidRDefault="00BC6D0C" w:rsidP="003A2017">
      <w:pPr>
        <w:pStyle w:val="2"/>
      </w:pPr>
      <w:r w:rsidRPr="00B07608">
        <w:lastRenderedPageBreak/>
        <w:t>Chapter I</w:t>
      </w:r>
      <w:r w:rsidRPr="00B07608">
        <w:tab/>
        <w:t>General Provisions</w:t>
      </w:r>
    </w:p>
    <w:p w14:paraId="7E051C59" w14:textId="09C64D33" w:rsidR="004738ED" w:rsidRPr="00B07608"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w:t>
      </w:r>
      <w:r w:rsidRPr="00B07608">
        <w:rPr>
          <w:rFonts w:ascii="Times New Roman" w:eastAsia="宋体" w:hAnsi="Times New Roman" w:cs="Times New Roman"/>
          <w:sz w:val="22"/>
        </w:rPr>
        <w:tab/>
      </w:r>
      <w:r w:rsidR="00BC6D0C" w:rsidRPr="00B07608">
        <w:rPr>
          <w:rFonts w:ascii="Times New Roman" w:eastAsia="宋体" w:hAnsi="Times New Roman" w:cs="Times New Roman"/>
          <w:sz w:val="22"/>
        </w:rPr>
        <w:t xml:space="preserve">This </w:t>
      </w:r>
      <w:r w:rsidR="00BC6D0C" w:rsidRPr="00B07608">
        <w:rPr>
          <w:rFonts w:ascii="Times New Roman" w:eastAsia="宋体" w:hAnsi="Times New Roman" w:cs="Times New Roman"/>
          <w:i/>
          <w:iCs/>
          <w:sz w:val="22"/>
        </w:rPr>
        <w:t>Detailed Rules for Performance-Guarantee Price Asking Trading of Shanghai Gold Exchange</w:t>
      </w:r>
      <w:r w:rsidR="00BC6D0C" w:rsidRPr="00B07608">
        <w:rPr>
          <w:rFonts w:ascii="Times New Roman" w:eastAsia="宋体" w:hAnsi="Times New Roman" w:cs="Times New Roman"/>
          <w:sz w:val="22"/>
        </w:rPr>
        <w:t xml:space="preserve"> (this </w:t>
      </w:r>
      <w:r w:rsidR="00BC6D0C" w:rsidRPr="00B07608">
        <w:rPr>
          <w:rFonts w:ascii="Times New Roman" w:eastAsia="宋体" w:hAnsi="Times New Roman" w:cs="Times New Roman"/>
          <w:b/>
          <w:bCs/>
          <w:i/>
          <w:iCs/>
          <w:sz w:val="22"/>
        </w:rPr>
        <w:t>Detailed Rules</w:t>
      </w:r>
      <w:r w:rsidR="00BC6D0C" w:rsidRPr="00B07608">
        <w:rPr>
          <w:rFonts w:ascii="Times New Roman" w:eastAsia="宋体" w:hAnsi="Times New Roman" w:cs="Times New Roman"/>
          <w:sz w:val="22"/>
        </w:rPr>
        <w:t>), formulated in accordance with national laws, regulations and ministry-level rules as well as the</w:t>
      </w:r>
      <w:r w:rsidR="00BC6D0C" w:rsidRPr="00B07608">
        <w:rPr>
          <w:rFonts w:ascii="Times New Roman" w:eastAsia="宋体" w:hAnsi="Times New Roman" w:cs="Times New Roman"/>
          <w:i/>
          <w:iCs/>
          <w:sz w:val="22"/>
        </w:rPr>
        <w:t xml:space="preserve"> Articles of Association of Shanghai Gold Exchange</w:t>
      </w:r>
      <w:r w:rsidR="00BC6D0C" w:rsidRPr="00B07608">
        <w:rPr>
          <w:rFonts w:ascii="Times New Roman" w:eastAsia="宋体" w:hAnsi="Times New Roman" w:cs="Times New Roman"/>
          <w:sz w:val="22"/>
        </w:rPr>
        <w:t xml:space="preserve"> and the </w:t>
      </w:r>
      <w:r w:rsidR="00BC6D0C" w:rsidRPr="00B07608">
        <w:rPr>
          <w:rFonts w:ascii="Times New Roman" w:eastAsia="宋体" w:hAnsi="Times New Roman" w:cs="Times New Roman"/>
          <w:i/>
          <w:iCs/>
          <w:sz w:val="22"/>
        </w:rPr>
        <w:t>Trading Rules of Shanghai Gold Exchange</w:t>
      </w:r>
      <w:r w:rsidR="00BC6D0C" w:rsidRPr="00B07608">
        <w:rPr>
          <w:rFonts w:ascii="Times New Roman" w:eastAsia="宋体" w:hAnsi="Times New Roman" w:cs="Times New Roman"/>
          <w:sz w:val="22"/>
        </w:rPr>
        <w:t>, is designed to strengthen the administration of the price asking market, regulate price asking trading activities, and protect the lawful rights and interests of market participants.</w:t>
      </w:r>
    </w:p>
    <w:p w14:paraId="251D85E8" w14:textId="1FD80E9E" w:rsidR="004738ED" w:rsidRPr="00B07608" w:rsidRDefault="004738ED" w:rsidP="004738ED">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w:t>
      </w:r>
      <w:r w:rsidRPr="00B07608">
        <w:rPr>
          <w:rFonts w:ascii="Times New Roman" w:eastAsia="宋体" w:hAnsi="Times New Roman" w:cs="Times New Roman"/>
          <w:sz w:val="22"/>
        </w:rPr>
        <w:tab/>
      </w:r>
      <w:r w:rsidR="0055155E" w:rsidRPr="00B07608">
        <w:rPr>
          <w:rFonts w:ascii="Times New Roman" w:eastAsia="宋体" w:hAnsi="Times New Roman" w:cs="Times New Roman"/>
          <w:sz w:val="22"/>
        </w:rPr>
        <w:t xml:space="preserve">Price asking transactions on or through the Shanghai Gold Exchange (the </w:t>
      </w:r>
      <w:r w:rsidR="0055155E" w:rsidRPr="00B07608">
        <w:rPr>
          <w:rFonts w:ascii="Times New Roman" w:eastAsia="宋体" w:hAnsi="Times New Roman" w:cs="Times New Roman"/>
          <w:b/>
          <w:bCs/>
          <w:sz w:val="22"/>
        </w:rPr>
        <w:t>Exchange</w:t>
      </w:r>
      <w:r w:rsidR="0055155E" w:rsidRPr="00B07608">
        <w:rPr>
          <w:rFonts w:ascii="Times New Roman" w:eastAsia="宋体" w:hAnsi="Times New Roman" w:cs="Times New Roman"/>
          <w:sz w:val="22"/>
        </w:rPr>
        <w:t xml:space="preserve"> or </w:t>
      </w:r>
      <w:r w:rsidR="0055155E" w:rsidRPr="00B07608">
        <w:rPr>
          <w:rFonts w:ascii="Times New Roman" w:eastAsia="宋体" w:hAnsi="Times New Roman" w:cs="Times New Roman"/>
          <w:b/>
          <w:bCs/>
          <w:sz w:val="22"/>
        </w:rPr>
        <w:t>SGE</w:t>
      </w:r>
      <w:r w:rsidR="0055155E" w:rsidRPr="00B07608">
        <w:rPr>
          <w:rFonts w:ascii="Times New Roman" w:eastAsia="宋体" w:hAnsi="Times New Roman" w:cs="Times New Roman"/>
          <w:sz w:val="22"/>
        </w:rPr>
        <w:t xml:space="preserve">) refer to </w:t>
      </w:r>
      <w:r w:rsidR="00E27F40" w:rsidRPr="00B07608">
        <w:rPr>
          <w:rFonts w:ascii="Times New Roman" w:eastAsia="宋体" w:hAnsi="Times New Roman" w:cs="Times New Roman"/>
          <w:sz w:val="22"/>
        </w:rPr>
        <w:t xml:space="preserve">price asking </w:t>
      </w:r>
      <w:r w:rsidR="0055155E" w:rsidRPr="00B07608">
        <w:rPr>
          <w:rFonts w:ascii="Times New Roman" w:eastAsia="宋体" w:hAnsi="Times New Roman" w:cs="Times New Roman"/>
          <w:sz w:val="22"/>
        </w:rPr>
        <w:t xml:space="preserve">trades </w:t>
      </w:r>
      <w:r w:rsidR="00E27F40" w:rsidRPr="00B07608">
        <w:rPr>
          <w:rFonts w:ascii="Times New Roman" w:eastAsia="宋体" w:hAnsi="Times New Roman" w:cs="Times New Roman"/>
          <w:sz w:val="22"/>
        </w:rPr>
        <w:t xml:space="preserve">executed </w:t>
      </w:r>
      <w:r w:rsidR="0055155E" w:rsidRPr="00B07608">
        <w:rPr>
          <w:rFonts w:ascii="Times New Roman" w:eastAsia="宋体" w:hAnsi="Times New Roman" w:cs="Times New Roman"/>
          <w:sz w:val="22"/>
        </w:rPr>
        <w:t xml:space="preserve">through a price asking platform designated by the Exchange, as well as price asking trades otherwise executed by the trading parties and registered with the Exchange and the clearing, settlement and delivery </w:t>
      </w:r>
      <w:r w:rsidR="00301B5F" w:rsidRPr="00B07608">
        <w:rPr>
          <w:rFonts w:ascii="Times New Roman" w:eastAsia="宋体" w:hAnsi="Times New Roman" w:cs="Times New Roman"/>
          <w:sz w:val="22"/>
        </w:rPr>
        <w:t xml:space="preserve">of which are </w:t>
      </w:r>
      <w:r w:rsidR="0055155E" w:rsidRPr="00B07608">
        <w:rPr>
          <w:rFonts w:ascii="Times New Roman" w:eastAsia="宋体" w:hAnsi="Times New Roman" w:cs="Times New Roman"/>
          <w:sz w:val="22"/>
        </w:rPr>
        <w:t>completed on or through the Exchange.</w:t>
      </w:r>
    </w:p>
    <w:p w14:paraId="3510E98D" w14:textId="58EE6478" w:rsidR="004738ED" w:rsidRPr="00B07608" w:rsidRDefault="004738ED" w:rsidP="004738ED">
      <w:pPr>
        <w:tabs>
          <w:tab w:val="left" w:pos="1276"/>
        </w:tabs>
        <w:snapToGrid w:val="0"/>
        <w:spacing w:afterLines="100" w:after="312" w:line="276" w:lineRule="auto"/>
        <w:jc w:val="left"/>
        <w:rPr>
          <w:rFonts w:ascii="Times New Roman" w:eastAsia="宋体" w:hAnsi="Times New Roman" w:cs="Times New Roman"/>
          <w:color w:val="00B0F0"/>
          <w:sz w:val="22"/>
        </w:rPr>
      </w:pPr>
      <w:r w:rsidRPr="00B07608">
        <w:rPr>
          <w:rFonts w:ascii="Times New Roman" w:eastAsia="宋体" w:hAnsi="Times New Roman" w:cs="Times New Roman"/>
          <w:b/>
          <w:bCs/>
          <w:sz w:val="22"/>
        </w:rPr>
        <w:t>Article 3</w:t>
      </w:r>
      <w:r w:rsidRPr="00B07608">
        <w:rPr>
          <w:rFonts w:ascii="Times New Roman" w:eastAsia="宋体" w:hAnsi="Times New Roman" w:cs="Times New Roman"/>
          <w:sz w:val="22"/>
        </w:rPr>
        <w:tab/>
      </w:r>
      <w:r w:rsidR="009B5483" w:rsidRPr="00B07608">
        <w:rPr>
          <w:rFonts w:ascii="Times New Roman" w:eastAsia="宋体" w:hAnsi="Times New Roman" w:cs="Times New Roman"/>
          <w:sz w:val="22"/>
        </w:rPr>
        <w:t>The two types of price asking transactions are bilateral-credit price asking transactions, which are backed by the credit standing of the trading parties, and performance-guar</w:t>
      </w:r>
      <w:r w:rsidR="00F76AE2">
        <w:rPr>
          <w:rFonts w:ascii="Times New Roman" w:eastAsia="宋体" w:hAnsi="Times New Roman" w:cs="Times New Roman"/>
          <w:sz w:val="22"/>
        </w:rPr>
        <w:t>antee price asking transactions</w:t>
      </w:r>
      <w:r w:rsidR="009B5483" w:rsidRPr="00B07608">
        <w:rPr>
          <w:rFonts w:ascii="Times New Roman" w:eastAsia="宋体" w:hAnsi="Times New Roman" w:cs="Times New Roman"/>
          <w:sz w:val="22"/>
        </w:rPr>
        <w:t xml:space="preserve"> </w:t>
      </w:r>
      <w:r w:rsidR="00301B5F" w:rsidRPr="00B07608">
        <w:rPr>
          <w:rFonts w:ascii="Times New Roman" w:eastAsia="宋体" w:hAnsi="Times New Roman" w:cs="Times New Roman"/>
          <w:sz w:val="22"/>
        </w:rPr>
        <w:t xml:space="preserve">or margin-based price asking transactions, </w:t>
      </w:r>
      <w:r w:rsidR="009B5483" w:rsidRPr="00B07608">
        <w:rPr>
          <w:rFonts w:ascii="Times New Roman" w:eastAsia="宋体" w:hAnsi="Times New Roman" w:cs="Times New Roman"/>
          <w:sz w:val="22"/>
        </w:rPr>
        <w:t>which are subject to marg</w:t>
      </w:r>
      <w:r w:rsidR="00F76AE2">
        <w:rPr>
          <w:rFonts w:ascii="Times New Roman" w:eastAsia="宋体" w:hAnsi="Times New Roman" w:cs="Times New Roman"/>
          <w:sz w:val="22"/>
        </w:rPr>
        <w:t>in requirements and daily mark-</w:t>
      </w:r>
      <w:r w:rsidR="009B5483" w:rsidRPr="00B07608">
        <w:rPr>
          <w:rFonts w:ascii="Times New Roman" w:eastAsia="宋体" w:hAnsi="Times New Roman" w:cs="Times New Roman"/>
          <w:sz w:val="22"/>
        </w:rPr>
        <w:t>to-market</w:t>
      </w:r>
      <w:r w:rsidR="00301B5F" w:rsidRPr="00B07608">
        <w:rPr>
          <w:rFonts w:ascii="Times New Roman" w:eastAsia="宋体" w:hAnsi="Times New Roman" w:cs="Times New Roman"/>
          <w:sz w:val="22"/>
        </w:rPr>
        <w:t xml:space="preserve"> and for which </w:t>
      </w:r>
      <w:r w:rsidR="009B5483" w:rsidRPr="00B07608">
        <w:rPr>
          <w:rFonts w:ascii="Times New Roman" w:eastAsia="宋体" w:hAnsi="Times New Roman" w:cs="Times New Roman"/>
          <w:sz w:val="22"/>
        </w:rPr>
        <w:t>the Exchange provides centralized performance guarantee.</w:t>
      </w:r>
    </w:p>
    <w:p w14:paraId="22BE1CEB" w14:textId="4DF26AA8" w:rsidR="00D6793E" w:rsidRPr="00B07608" w:rsidRDefault="00D6793E" w:rsidP="004738ED">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w:t>
      </w:r>
      <w:r w:rsidRPr="00B07608">
        <w:rPr>
          <w:rFonts w:ascii="Times New Roman" w:eastAsia="宋体" w:hAnsi="Times New Roman" w:cs="Times New Roman"/>
          <w:sz w:val="22"/>
        </w:rPr>
        <w:tab/>
        <w:t xml:space="preserve">This </w:t>
      </w:r>
      <w:r w:rsidRPr="00B07608">
        <w:rPr>
          <w:rFonts w:ascii="Times New Roman" w:eastAsia="宋体" w:hAnsi="Times New Roman" w:cs="Times New Roman"/>
          <w:i/>
          <w:iCs/>
          <w:sz w:val="22"/>
        </w:rPr>
        <w:t>Detailed Rules</w:t>
      </w:r>
      <w:r w:rsidRPr="00B07608">
        <w:rPr>
          <w:rFonts w:ascii="Times New Roman" w:eastAsia="宋体" w:hAnsi="Times New Roman" w:cs="Times New Roman"/>
          <w:sz w:val="22"/>
        </w:rPr>
        <w:t xml:space="preserve"> are applicable </w:t>
      </w:r>
      <w:r w:rsidR="00E27F40" w:rsidRPr="00B07608">
        <w:rPr>
          <w:rFonts w:ascii="Times New Roman" w:eastAsia="宋体" w:hAnsi="Times New Roman" w:cs="Times New Roman"/>
          <w:sz w:val="22"/>
        </w:rPr>
        <w:t>to</w:t>
      </w:r>
      <w:r w:rsidRPr="00B07608">
        <w:rPr>
          <w:rFonts w:ascii="Times New Roman" w:eastAsia="宋体" w:hAnsi="Times New Roman" w:cs="Times New Roman"/>
          <w:sz w:val="22"/>
        </w:rPr>
        <w:t xml:space="preserve"> margin-based price asking transactions.</w:t>
      </w:r>
    </w:p>
    <w:p w14:paraId="569CD6BD" w14:textId="77777777" w:rsidR="00D6793E" w:rsidRPr="00B07608" w:rsidRDefault="00D6793E" w:rsidP="003A2017">
      <w:pPr>
        <w:pStyle w:val="2"/>
      </w:pPr>
      <w:r w:rsidRPr="00B07608">
        <w:t>Chapter II</w:t>
      </w:r>
      <w:r w:rsidRPr="00B07608">
        <w:tab/>
        <w:t>Products and Contracts</w:t>
      </w:r>
    </w:p>
    <w:p w14:paraId="59E6EA7F" w14:textId="1F760A5B"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5</w:t>
      </w:r>
      <w:r w:rsidRPr="00B07608">
        <w:rPr>
          <w:rFonts w:ascii="Times New Roman" w:eastAsia="宋体" w:hAnsi="Times New Roman" w:cs="Times New Roman"/>
          <w:sz w:val="22"/>
        </w:rPr>
        <w:tab/>
        <w:t>Products listed on the Exchange for margin-based price asking transactions include gold (Au), silver (Ag), and such other products as approved by the People’s Bank of China (</w:t>
      </w:r>
      <w:r w:rsidRPr="00B07608">
        <w:rPr>
          <w:rFonts w:ascii="Times New Roman" w:eastAsia="宋体" w:hAnsi="Times New Roman" w:cs="Times New Roman"/>
          <w:b/>
          <w:bCs/>
          <w:sz w:val="22"/>
        </w:rPr>
        <w:t>PBC</w:t>
      </w:r>
      <w:r w:rsidRPr="00B07608">
        <w:rPr>
          <w:rFonts w:ascii="Times New Roman" w:eastAsia="宋体" w:hAnsi="Times New Roman" w:cs="Times New Roman"/>
          <w:sz w:val="22"/>
        </w:rPr>
        <w:t>).</w:t>
      </w:r>
    </w:p>
    <w:p w14:paraId="0ABF022D" w14:textId="0F380A1D"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6</w:t>
      </w:r>
      <w:r w:rsidRPr="00B07608">
        <w:rPr>
          <w:rFonts w:ascii="Times New Roman" w:eastAsia="宋体" w:hAnsi="Times New Roman" w:cs="Times New Roman"/>
          <w:sz w:val="22"/>
        </w:rPr>
        <w:tab/>
        <w:t xml:space="preserve">Margin-based price asking contracts listed on the Exchange </w:t>
      </w:r>
      <w:r w:rsidR="003B649D" w:rsidRPr="00B07608">
        <w:rPr>
          <w:rFonts w:ascii="Times New Roman" w:eastAsia="宋体" w:hAnsi="Times New Roman" w:cs="Times New Roman"/>
          <w:sz w:val="22"/>
        </w:rPr>
        <w:t>are</w:t>
      </w:r>
      <w:r w:rsidRPr="00B07608">
        <w:rPr>
          <w:rFonts w:ascii="Times New Roman" w:eastAsia="宋体" w:hAnsi="Times New Roman" w:cs="Times New Roman"/>
          <w:sz w:val="22"/>
        </w:rPr>
        <w:t xml:space="preserve"> classified by trading type into spot</w:t>
      </w:r>
      <w:r w:rsidR="003B649D" w:rsidRPr="00B07608">
        <w:rPr>
          <w:rFonts w:ascii="Times New Roman" w:eastAsia="宋体" w:hAnsi="Times New Roman" w:cs="Times New Roman"/>
          <w:sz w:val="22"/>
        </w:rPr>
        <w:t xml:space="preserve"> contracts</w:t>
      </w:r>
      <w:r w:rsidRPr="00B07608">
        <w:rPr>
          <w:rFonts w:ascii="Times New Roman" w:eastAsia="宋体" w:hAnsi="Times New Roman" w:cs="Times New Roman"/>
          <w:sz w:val="22"/>
        </w:rPr>
        <w:t>, forward</w:t>
      </w:r>
      <w:r w:rsidR="003B649D" w:rsidRPr="00B07608">
        <w:rPr>
          <w:rFonts w:ascii="Times New Roman" w:eastAsia="宋体" w:hAnsi="Times New Roman" w:cs="Times New Roman"/>
          <w:sz w:val="22"/>
        </w:rPr>
        <w:t xml:space="preserve"> contracts</w:t>
      </w:r>
      <w:r w:rsidRPr="00B07608">
        <w:rPr>
          <w:rFonts w:ascii="Times New Roman" w:eastAsia="宋体" w:hAnsi="Times New Roman" w:cs="Times New Roman"/>
          <w:sz w:val="22"/>
        </w:rPr>
        <w:t>, swap contracts</w:t>
      </w:r>
      <w:r w:rsidR="003B649D" w:rsidRPr="00B07608">
        <w:rPr>
          <w:rFonts w:ascii="Times New Roman" w:eastAsia="宋体" w:hAnsi="Times New Roman" w:cs="Times New Roman"/>
          <w:sz w:val="22"/>
        </w:rPr>
        <w:t>,</w:t>
      </w:r>
      <w:r w:rsidRPr="00B07608">
        <w:rPr>
          <w:rFonts w:ascii="Times New Roman" w:eastAsia="宋体" w:hAnsi="Times New Roman" w:cs="Times New Roman"/>
          <w:sz w:val="22"/>
        </w:rPr>
        <w:t xml:space="preserve"> and such other </w:t>
      </w:r>
      <w:r w:rsidR="00B2587D" w:rsidRPr="00B07608">
        <w:rPr>
          <w:rFonts w:ascii="Times New Roman" w:eastAsia="宋体" w:hAnsi="Times New Roman" w:cs="Times New Roman"/>
          <w:sz w:val="22"/>
        </w:rPr>
        <w:t xml:space="preserve">types of </w:t>
      </w:r>
      <w:r w:rsidRPr="00B07608">
        <w:rPr>
          <w:rFonts w:ascii="Times New Roman" w:eastAsia="宋体" w:hAnsi="Times New Roman" w:cs="Times New Roman"/>
          <w:sz w:val="22"/>
        </w:rPr>
        <w:t>contracts as approved by the PBC.</w:t>
      </w:r>
    </w:p>
    <w:p w14:paraId="5CC32B5F" w14:textId="3C6A1D92"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7</w:t>
      </w:r>
      <w:r w:rsidRPr="00B07608">
        <w:rPr>
          <w:rFonts w:ascii="Times New Roman" w:eastAsia="宋体" w:hAnsi="Times New Roman" w:cs="Times New Roman"/>
          <w:sz w:val="22"/>
        </w:rPr>
        <w:tab/>
        <w:t xml:space="preserve">Margin-based price asking contracts listed on the Exchange </w:t>
      </w:r>
      <w:r w:rsidR="004263AA" w:rsidRPr="00B07608">
        <w:rPr>
          <w:rFonts w:ascii="Times New Roman" w:eastAsia="宋体" w:hAnsi="Times New Roman" w:cs="Times New Roman"/>
          <w:sz w:val="22"/>
        </w:rPr>
        <w:t>are</w:t>
      </w:r>
      <w:r w:rsidRPr="00B07608">
        <w:rPr>
          <w:rFonts w:ascii="Times New Roman" w:eastAsia="宋体" w:hAnsi="Times New Roman" w:cs="Times New Roman"/>
          <w:sz w:val="22"/>
        </w:rPr>
        <w:t xml:space="preserve"> classified by delivery location into Main Board contracts and International Board contracts.</w:t>
      </w:r>
    </w:p>
    <w:p w14:paraId="4663D01A" w14:textId="1EF61085"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8</w:t>
      </w:r>
      <w:r w:rsidRPr="00B07608">
        <w:rPr>
          <w:rFonts w:ascii="Times New Roman" w:eastAsia="宋体" w:hAnsi="Times New Roman" w:cs="Times New Roman"/>
          <w:sz w:val="22"/>
        </w:rPr>
        <w:tab/>
        <w:t xml:space="preserve">Specifications of margin-based price asking contracts shall be governed by </w:t>
      </w:r>
      <w:r w:rsidR="004263AA" w:rsidRPr="00B07608">
        <w:rPr>
          <w:rFonts w:ascii="Times New Roman" w:eastAsia="宋体" w:hAnsi="Times New Roman" w:cs="Times New Roman"/>
          <w:sz w:val="22"/>
        </w:rPr>
        <w:t>the corresponding</w:t>
      </w:r>
      <w:r w:rsidRPr="00B07608">
        <w:rPr>
          <w:rFonts w:ascii="Times New Roman" w:eastAsia="宋体" w:hAnsi="Times New Roman" w:cs="Times New Roman"/>
          <w:sz w:val="22"/>
        </w:rPr>
        <w:t xml:space="preserve"> </w:t>
      </w:r>
      <w:r w:rsidR="009123DA" w:rsidRPr="00B07608">
        <w:rPr>
          <w:rFonts w:ascii="Times New Roman" w:eastAsia="宋体" w:hAnsi="Times New Roman" w:cs="Times New Roman"/>
          <w:i/>
          <w:iCs/>
          <w:sz w:val="22"/>
        </w:rPr>
        <w:t>S</w:t>
      </w:r>
      <w:r w:rsidR="004263AA" w:rsidRPr="00B07608">
        <w:rPr>
          <w:rFonts w:ascii="Times New Roman" w:eastAsia="宋体" w:hAnsi="Times New Roman" w:cs="Times New Roman"/>
          <w:i/>
          <w:iCs/>
          <w:sz w:val="22"/>
        </w:rPr>
        <w:t xml:space="preserve">upplementary </w:t>
      </w:r>
      <w:r w:rsidR="009123DA" w:rsidRPr="00B07608">
        <w:rPr>
          <w:rFonts w:ascii="Times New Roman" w:eastAsia="宋体" w:hAnsi="Times New Roman" w:cs="Times New Roman"/>
          <w:i/>
          <w:iCs/>
          <w:sz w:val="22"/>
        </w:rPr>
        <w:t>P</w:t>
      </w:r>
      <w:r w:rsidR="004263AA" w:rsidRPr="00B07608">
        <w:rPr>
          <w:rFonts w:ascii="Times New Roman" w:eastAsia="宋体" w:hAnsi="Times New Roman" w:cs="Times New Roman"/>
          <w:i/>
          <w:iCs/>
          <w:sz w:val="22"/>
        </w:rPr>
        <w:t>rovisions</w:t>
      </w:r>
      <w:r w:rsidRPr="00B07608">
        <w:rPr>
          <w:rFonts w:ascii="Times New Roman" w:eastAsia="宋体" w:hAnsi="Times New Roman" w:cs="Times New Roman"/>
          <w:sz w:val="22"/>
        </w:rPr>
        <w:t>.</w:t>
      </w:r>
    </w:p>
    <w:p w14:paraId="7E334132" w14:textId="77777777" w:rsidR="00D6793E" w:rsidRPr="00B07608" w:rsidRDefault="00D6793E" w:rsidP="003A2017">
      <w:pPr>
        <w:pStyle w:val="2"/>
      </w:pPr>
      <w:r w:rsidRPr="00B07608">
        <w:t>Chapter III</w:t>
      </w:r>
      <w:r w:rsidRPr="00B07608">
        <w:tab/>
        <w:t>Market Participants</w:t>
      </w:r>
    </w:p>
    <w:p w14:paraId="0F590D82" w14:textId="1C44525A"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9</w:t>
      </w:r>
      <w:r w:rsidRPr="00B07608">
        <w:rPr>
          <w:rFonts w:ascii="Times New Roman" w:eastAsia="宋体" w:hAnsi="Times New Roman" w:cs="Times New Roman"/>
          <w:sz w:val="22"/>
        </w:rPr>
        <w:tab/>
        <w:t xml:space="preserve">The Exchange adopts a market-entry regime for margin-based price asking transactions. Any member who intends to engage in margin-based price asking </w:t>
      </w:r>
      <w:r w:rsidR="009123DA" w:rsidRPr="00B07608">
        <w:rPr>
          <w:rFonts w:ascii="Times New Roman" w:eastAsia="宋体" w:hAnsi="Times New Roman" w:cs="Times New Roman"/>
          <w:sz w:val="22"/>
        </w:rPr>
        <w:t>transactions</w:t>
      </w:r>
      <w:r w:rsidRPr="00B07608">
        <w:rPr>
          <w:rFonts w:ascii="Times New Roman" w:eastAsia="宋体" w:hAnsi="Times New Roman" w:cs="Times New Roman"/>
          <w:sz w:val="22"/>
        </w:rPr>
        <w:t xml:space="preserve"> shall first apply to the Exchange. Relevant application requirements and procedures shall be governed by the </w:t>
      </w:r>
      <w:r w:rsidRPr="00B07608">
        <w:rPr>
          <w:rFonts w:ascii="Times New Roman" w:eastAsia="宋体" w:hAnsi="Times New Roman" w:cs="Times New Roman"/>
          <w:i/>
          <w:iCs/>
          <w:sz w:val="22"/>
        </w:rPr>
        <w:t>Supplementary Provisions</w:t>
      </w:r>
      <w:r w:rsidRPr="00B07608">
        <w:rPr>
          <w:rFonts w:ascii="Times New Roman" w:eastAsia="宋体" w:hAnsi="Times New Roman" w:cs="Times New Roman"/>
          <w:sz w:val="22"/>
        </w:rPr>
        <w:t xml:space="preserve"> for margin-based price asking contract</w:t>
      </w:r>
      <w:r w:rsidR="00206D6D" w:rsidRPr="00B07608">
        <w:rPr>
          <w:rFonts w:ascii="Times New Roman" w:eastAsia="宋体" w:hAnsi="Times New Roman" w:cs="Times New Roman"/>
          <w:sz w:val="22"/>
        </w:rPr>
        <w:t>s</w:t>
      </w:r>
      <w:r w:rsidRPr="00B07608">
        <w:rPr>
          <w:rFonts w:ascii="Times New Roman" w:eastAsia="宋体" w:hAnsi="Times New Roman" w:cs="Times New Roman"/>
          <w:sz w:val="22"/>
        </w:rPr>
        <w:t xml:space="preserve"> formulated under this </w:t>
      </w:r>
      <w:r w:rsidRPr="00B07608">
        <w:rPr>
          <w:rFonts w:ascii="Times New Roman" w:eastAsia="宋体" w:hAnsi="Times New Roman" w:cs="Times New Roman"/>
          <w:i/>
          <w:iCs/>
          <w:sz w:val="22"/>
        </w:rPr>
        <w:t>Detailed Rules</w:t>
      </w:r>
      <w:r w:rsidRPr="00B07608">
        <w:rPr>
          <w:rFonts w:ascii="Times New Roman" w:eastAsia="宋体" w:hAnsi="Times New Roman" w:cs="Times New Roman"/>
          <w:sz w:val="22"/>
        </w:rPr>
        <w:t>.</w:t>
      </w:r>
    </w:p>
    <w:p w14:paraId="6667EEE5" w14:textId="667004E4"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lastRenderedPageBreak/>
        <w:t>Article 10</w:t>
      </w:r>
      <w:r w:rsidRPr="00B07608">
        <w:rPr>
          <w:rFonts w:ascii="Times New Roman" w:eastAsia="宋体" w:hAnsi="Times New Roman" w:cs="Times New Roman"/>
          <w:sz w:val="22"/>
        </w:rPr>
        <w:tab/>
        <w:t xml:space="preserve">The price asking market is a market for institutional investors. Members may participate in margin-based price asking transactions directly; </w:t>
      </w:r>
      <w:r w:rsidR="00AD71F7" w:rsidRPr="00B07608">
        <w:rPr>
          <w:rFonts w:ascii="Times New Roman" w:eastAsia="宋体" w:hAnsi="Times New Roman" w:cs="Times New Roman"/>
          <w:sz w:val="22"/>
        </w:rPr>
        <w:t>corporate</w:t>
      </w:r>
      <w:r w:rsidRPr="00B07608">
        <w:rPr>
          <w:rFonts w:ascii="Times New Roman" w:eastAsia="宋体" w:hAnsi="Times New Roman" w:cs="Times New Roman"/>
          <w:sz w:val="22"/>
        </w:rPr>
        <w:t xml:space="preserve"> customers must do so through their carrying members.</w:t>
      </w:r>
    </w:p>
    <w:p w14:paraId="3C44A9A6" w14:textId="2DA8FE6B"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11</w:t>
      </w:r>
      <w:r w:rsidRPr="00B07608">
        <w:rPr>
          <w:rFonts w:ascii="Times New Roman" w:eastAsia="宋体" w:hAnsi="Times New Roman" w:cs="Times New Roman"/>
          <w:sz w:val="22"/>
        </w:rPr>
        <w:tab/>
        <w:t xml:space="preserve">In addition to complying with this </w:t>
      </w:r>
      <w:r w:rsidRPr="00B07608">
        <w:rPr>
          <w:rFonts w:ascii="Times New Roman" w:eastAsia="宋体" w:hAnsi="Times New Roman" w:cs="Times New Roman"/>
          <w:i/>
          <w:iCs/>
          <w:sz w:val="22"/>
        </w:rPr>
        <w:t>Detailed Rules</w:t>
      </w:r>
      <w:r w:rsidRPr="00B07608">
        <w:rPr>
          <w:rFonts w:ascii="Times New Roman" w:eastAsia="宋体" w:hAnsi="Times New Roman" w:cs="Times New Roman"/>
          <w:sz w:val="22"/>
        </w:rPr>
        <w:t>, International Members and International Customers shall also abide by the relevant rules of the Shanghai International Gold Exchange Co., Ltd. (</w:t>
      </w:r>
      <w:r w:rsidRPr="00B07608">
        <w:rPr>
          <w:rFonts w:ascii="Times New Roman" w:eastAsia="宋体" w:hAnsi="Times New Roman" w:cs="Times New Roman"/>
          <w:b/>
          <w:bCs/>
          <w:sz w:val="22"/>
        </w:rPr>
        <w:t>SGEI</w:t>
      </w:r>
      <w:r w:rsidRPr="00B07608">
        <w:rPr>
          <w:rFonts w:ascii="Times New Roman" w:eastAsia="宋体" w:hAnsi="Times New Roman" w:cs="Times New Roman"/>
          <w:sz w:val="22"/>
        </w:rPr>
        <w:t xml:space="preserve">) when </w:t>
      </w:r>
      <w:r w:rsidR="00AD71F7" w:rsidRPr="00B07608">
        <w:rPr>
          <w:rFonts w:ascii="Times New Roman" w:eastAsia="宋体" w:hAnsi="Times New Roman" w:cs="Times New Roman"/>
          <w:sz w:val="22"/>
        </w:rPr>
        <w:t>engaging</w:t>
      </w:r>
      <w:r w:rsidRPr="00B07608">
        <w:rPr>
          <w:rFonts w:ascii="Times New Roman" w:eastAsia="宋体" w:hAnsi="Times New Roman" w:cs="Times New Roman"/>
          <w:sz w:val="22"/>
        </w:rPr>
        <w:t xml:space="preserve"> in margin-based price asking transactions.</w:t>
      </w:r>
    </w:p>
    <w:p w14:paraId="312D12B5" w14:textId="645C9756" w:rsidR="00D6793E" w:rsidRPr="00B07608" w:rsidRDefault="00D6793E" w:rsidP="00D6793E">
      <w:pPr>
        <w:tabs>
          <w:tab w:val="left" w:pos="1285"/>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12</w:t>
      </w:r>
      <w:r w:rsidRPr="00B07608">
        <w:rPr>
          <w:rFonts w:ascii="Times New Roman" w:eastAsia="宋体" w:hAnsi="Times New Roman" w:cs="Times New Roman"/>
          <w:sz w:val="22"/>
        </w:rPr>
        <w:tab/>
        <w:t>Upon receiving a customer’s application for engaging in margin-based price asking transactions, the carrying member shall first enter into a brokerage agreement with the customer</w:t>
      </w:r>
      <w:r w:rsidR="00AD71F7" w:rsidRPr="00B07608">
        <w:rPr>
          <w:rFonts w:ascii="Times New Roman" w:eastAsia="宋体" w:hAnsi="Times New Roman" w:cs="Times New Roman"/>
          <w:sz w:val="22"/>
        </w:rPr>
        <w:t xml:space="preserve"> to</w:t>
      </w:r>
      <w:r w:rsidRPr="00B07608">
        <w:rPr>
          <w:rFonts w:ascii="Times New Roman" w:eastAsia="宋体" w:hAnsi="Times New Roman" w:cs="Times New Roman"/>
          <w:sz w:val="22"/>
        </w:rPr>
        <w:t xml:space="preserve"> set out their respective rights and obligations</w:t>
      </w:r>
      <w:r w:rsidR="00AD71F7" w:rsidRPr="00B07608">
        <w:rPr>
          <w:rFonts w:ascii="Times New Roman" w:eastAsia="宋体" w:hAnsi="Times New Roman" w:cs="Times New Roman"/>
          <w:sz w:val="22"/>
        </w:rPr>
        <w:t xml:space="preserve"> in such transactions</w:t>
      </w:r>
      <w:r w:rsidRPr="00B07608">
        <w:rPr>
          <w:rFonts w:ascii="Times New Roman" w:eastAsia="宋体" w:hAnsi="Times New Roman" w:cs="Times New Roman"/>
          <w:sz w:val="22"/>
        </w:rPr>
        <w:t>.</w:t>
      </w:r>
    </w:p>
    <w:p w14:paraId="29337595" w14:textId="4F26A92A"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13</w:t>
      </w:r>
      <w:r w:rsidRPr="00B07608">
        <w:rPr>
          <w:rFonts w:ascii="Times New Roman" w:eastAsia="宋体" w:hAnsi="Times New Roman" w:cs="Times New Roman"/>
          <w:sz w:val="22"/>
        </w:rPr>
        <w:tab/>
        <w:t>Each member shall account for its proprietary price asking transactions separately from its brokerage price asking transactions. It shall conduct proprietary margin-based transactions through its proprietary seat and brokerage margin-based transactions through its brokerage seat.</w:t>
      </w:r>
    </w:p>
    <w:p w14:paraId="3632A813" w14:textId="14F94563"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14</w:t>
      </w:r>
      <w:r w:rsidR="0061297C" w:rsidRPr="00B07608">
        <w:rPr>
          <w:rFonts w:ascii="Times New Roman" w:eastAsia="宋体" w:hAnsi="Times New Roman" w:cs="Times New Roman"/>
          <w:b/>
          <w:bCs/>
          <w:sz w:val="22"/>
        </w:rPr>
        <w:tab/>
      </w:r>
      <w:r w:rsidRPr="00B07608">
        <w:rPr>
          <w:rFonts w:ascii="Times New Roman" w:eastAsia="宋体" w:hAnsi="Times New Roman" w:cs="Times New Roman"/>
          <w:sz w:val="22"/>
        </w:rPr>
        <w:t xml:space="preserve">Each member engaging in the margin-based price asking transactions shall have the necessary traders and seat users, and shall grant relevant authorizations for margin-based price asking transactions to such traders and seat users through the system designated by the Exchange and according to the rules of the Exchange. Any operation performed by such traders and seat users in the system within the scope of their authorization shall be deemed as an action taken by the corresponding member and </w:t>
      </w:r>
      <w:r w:rsidR="003A122F">
        <w:rPr>
          <w:rFonts w:ascii="Times New Roman" w:eastAsia="宋体" w:hAnsi="Times New Roman" w:cs="Times New Roman"/>
          <w:sz w:val="22"/>
        </w:rPr>
        <w:t>has</w:t>
      </w:r>
      <w:r w:rsidRPr="00B07608">
        <w:rPr>
          <w:rFonts w:ascii="Times New Roman" w:eastAsia="宋体" w:hAnsi="Times New Roman" w:cs="Times New Roman"/>
          <w:sz w:val="22"/>
        </w:rPr>
        <w:t xml:space="preserve"> legal effect.</w:t>
      </w:r>
    </w:p>
    <w:p w14:paraId="5066BDAA" w14:textId="2E44C6E1"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15</w:t>
      </w:r>
      <w:r w:rsidRPr="00B07608">
        <w:rPr>
          <w:rFonts w:ascii="Times New Roman" w:eastAsia="宋体" w:hAnsi="Times New Roman" w:cs="Times New Roman"/>
          <w:sz w:val="22"/>
        </w:rPr>
        <w:tab/>
        <w:t xml:space="preserve">A margin-based price asking market maker (a </w:t>
      </w:r>
      <w:r w:rsidRPr="00B07608">
        <w:rPr>
          <w:rFonts w:ascii="Times New Roman" w:eastAsia="宋体" w:hAnsi="Times New Roman" w:cs="Times New Roman"/>
          <w:b/>
          <w:bCs/>
          <w:sz w:val="22"/>
        </w:rPr>
        <w:t>market maker</w:t>
      </w:r>
      <w:r w:rsidRPr="00B07608">
        <w:rPr>
          <w:rFonts w:ascii="Times New Roman" w:eastAsia="宋体" w:hAnsi="Times New Roman" w:cs="Times New Roman"/>
          <w:sz w:val="22"/>
        </w:rPr>
        <w:t>) refers to an institution duly approved to provide the margin-based price asking market with executable bids and asks in accordance with relevant rules.</w:t>
      </w:r>
    </w:p>
    <w:p w14:paraId="1086F7A8" w14:textId="7815ACA6"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16</w:t>
      </w:r>
      <w:r w:rsidRPr="00B07608">
        <w:rPr>
          <w:rFonts w:ascii="Times New Roman" w:eastAsia="宋体" w:hAnsi="Times New Roman" w:cs="Times New Roman"/>
          <w:sz w:val="22"/>
        </w:rPr>
        <w:tab/>
        <w:t xml:space="preserve">A price asking brokerage company (a </w:t>
      </w:r>
      <w:r w:rsidRPr="00B07608">
        <w:rPr>
          <w:rFonts w:ascii="Times New Roman" w:eastAsia="宋体" w:hAnsi="Times New Roman" w:cs="Times New Roman"/>
          <w:b/>
          <w:bCs/>
          <w:sz w:val="22"/>
        </w:rPr>
        <w:t>broker</w:t>
      </w:r>
      <w:r w:rsidRPr="00B07608">
        <w:rPr>
          <w:rFonts w:ascii="Times New Roman" w:eastAsia="宋体" w:hAnsi="Times New Roman" w:cs="Times New Roman"/>
          <w:sz w:val="22"/>
        </w:rPr>
        <w:t>) refers to an intermediary that is recognized by the Exchange and that, through electronic technologies or other means, helps market participants conclude price asking trades in exchange for commissions.</w:t>
      </w:r>
    </w:p>
    <w:p w14:paraId="24D793CB"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17</w:t>
      </w:r>
      <w:r w:rsidRPr="00B07608">
        <w:rPr>
          <w:rFonts w:ascii="Times New Roman" w:eastAsia="宋体" w:hAnsi="Times New Roman" w:cs="Times New Roman"/>
          <w:sz w:val="22"/>
        </w:rPr>
        <w:tab/>
        <w:t>The Exchange adopts a filing regime to administer brokers. Each member may link, through the system designated by the Exchange, its brokerage seat and customers to a broker filed with the Exchange to authorize the broker to provide brokerage services. Each broker shall provide such intermediary services as order matching and trade registration within the scope of authorization granted by members and customers.</w:t>
      </w:r>
    </w:p>
    <w:p w14:paraId="7D4D8937" w14:textId="25E600CB"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18</w:t>
      </w:r>
      <w:r w:rsidRPr="00B07608">
        <w:rPr>
          <w:rFonts w:ascii="Times New Roman" w:eastAsia="宋体" w:hAnsi="Times New Roman" w:cs="Times New Roman"/>
          <w:sz w:val="22"/>
        </w:rPr>
        <w:tab/>
        <w:t>Institutions in the interbank gold price</w:t>
      </w:r>
      <w:r w:rsidR="008C7FEC">
        <w:rPr>
          <w:rFonts w:ascii="Times New Roman" w:eastAsia="宋体" w:hAnsi="Times New Roman" w:cs="Times New Roman"/>
          <w:sz w:val="22"/>
        </w:rPr>
        <w:t>-</w:t>
      </w:r>
      <w:r w:rsidRPr="00B07608">
        <w:rPr>
          <w:rFonts w:ascii="Times New Roman" w:eastAsia="宋体" w:hAnsi="Times New Roman" w:cs="Times New Roman"/>
          <w:sz w:val="22"/>
        </w:rPr>
        <w:t>asking market shall be subject to the above provisions when engaging in margin-based price asking transactions.</w:t>
      </w:r>
    </w:p>
    <w:p w14:paraId="22960535" w14:textId="77777777" w:rsidR="00D6793E" w:rsidRPr="00B07608" w:rsidRDefault="00D6793E" w:rsidP="003A2017">
      <w:pPr>
        <w:pStyle w:val="2"/>
      </w:pPr>
      <w:r w:rsidRPr="00B07608">
        <w:t>Chapter IV</w:t>
      </w:r>
      <w:r w:rsidRPr="00B07608">
        <w:tab/>
        <w:t>Trading, Registration and Confirmation</w:t>
      </w:r>
    </w:p>
    <w:p w14:paraId="70529067" w14:textId="13DD4E75"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19</w:t>
      </w:r>
      <w:r w:rsidRPr="00B07608">
        <w:rPr>
          <w:rFonts w:ascii="Times New Roman" w:eastAsia="宋体" w:hAnsi="Times New Roman" w:cs="Times New Roman"/>
          <w:sz w:val="22"/>
        </w:rPr>
        <w:tab/>
      </w:r>
      <w:r w:rsidR="00BE44BF" w:rsidRPr="00B07608">
        <w:rPr>
          <w:rFonts w:ascii="Times New Roman" w:eastAsia="宋体" w:hAnsi="Times New Roman" w:cs="Times New Roman"/>
          <w:sz w:val="22"/>
        </w:rPr>
        <w:t>T</w:t>
      </w:r>
      <w:r w:rsidRPr="00B07608">
        <w:rPr>
          <w:rFonts w:ascii="Times New Roman" w:eastAsia="宋体" w:hAnsi="Times New Roman" w:cs="Times New Roman"/>
          <w:sz w:val="22"/>
        </w:rPr>
        <w:t xml:space="preserve">rading parties may engage in margin-based price asking transactions through </w:t>
      </w:r>
      <w:r w:rsidR="00BE44BF" w:rsidRPr="00B07608">
        <w:rPr>
          <w:rFonts w:ascii="Times New Roman" w:eastAsia="宋体" w:hAnsi="Times New Roman" w:cs="Times New Roman"/>
          <w:sz w:val="22"/>
        </w:rPr>
        <w:t xml:space="preserve">the “click-to-trade” function </w:t>
      </w:r>
      <w:r w:rsidRPr="00B07608">
        <w:rPr>
          <w:rFonts w:ascii="Times New Roman" w:eastAsia="宋体" w:hAnsi="Times New Roman" w:cs="Times New Roman"/>
          <w:sz w:val="22"/>
        </w:rPr>
        <w:t xml:space="preserve">or </w:t>
      </w:r>
      <w:r w:rsidR="00BE44BF" w:rsidRPr="00B07608">
        <w:rPr>
          <w:rFonts w:ascii="Times New Roman" w:eastAsia="宋体" w:hAnsi="Times New Roman" w:cs="Times New Roman"/>
          <w:sz w:val="22"/>
        </w:rPr>
        <w:t xml:space="preserve">through trade </w:t>
      </w:r>
      <w:r w:rsidRPr="00B07608">
        <w:rPr>
          <w:rFonts w:ascii="Times New Roman" w:eastAsia="宋体" w:hAnsi="Times New Roman" w:cs="Times New Roman"/>
          <w:sz w:val="22"/>
        </w:rPr>
        <w:t xml:space="preserve">registration </w:t>
      </w:r>
      <w:r w:rsidR="00BE44BF" w:rsidRPr="00B07608">
        <w:rPr>
          <w:rFonts w:ascii="Times New Roman" w:eastAsia="宋体" w:hAnsi="Times New Roman" w:cs="Times New Roman"/>
          <w:sz w:val="22"/>
        </w:rPr>
        <w:t xml:space="preserve">and </w:t>
      </w:r>
      <w:r w:rsidRPr="00B07608">
        <w:rPr>
          <w:rFonts w:ascii="Times New Roman" w:eastAsia="宋体" w:hAnsi="Times New Roman" w:cs="Times New Roman"/>
          <w:sz w:val="22"/>
        </w:rPr>
        <w:t xml:space="preserve">confirmation. The trading methods and hours </w:t>
      </w:r>
      <w:r w:rsidR="00BE44BF" w:rsidRPr="00B07608">
        <w:rPr>
          <w:rFonts w:ascii="Times New Roman" w:eastAsia="宋体" w:hAnsi="Times New Roman" w:cs="Times New Roman"/>
          <w:sz w:val="22"/>
        </w:rPr>
        <w:t>applicable to</w:t>
      </w:r>
      <w:r w:rsidRPr="00B07608">
        <w:rPr>
          <w:rFonts w:ascii="Times New Roman" w:eastAsia="宋体" w:hAnsi="Times New Roman" w:cs="Times New Roman"/>
          <w:sz w:val="22"/>
        </w:rPr>
        <w:t xml:space="preserve"> each contract shall be governed by the </w:t>
      </w:r>
      <w:r w:rsidR="00BE44BF" w:rsidRPr="00B07608">
        <w:rPr>
          <w:rFonts w:ascii="Times New Roman" w:eastAsia="宋体" w:hAnsi="Times New Roman" w:cs="Times New Roman"/>
          <w:sz w:val="22"/>
        </w:rPr>
        <w:t xml:space="preserve">corresponding </w:t>
      </w:r>
      <w:r w:rsidRPr="00B07608">
        <w:rPr>
          <w:rFonts w:ascii="Times New Roman" w:eastAsia="宋体" w:hAnsi="Times New Roman" w:cs="Times New Roman"/>
          <w:i/>
          <w:iCs/>
          <w:sz w:val="22"/>
        </w:rPr>
        <w:t>Supplementary Provisions</w:t>
      </w:r>
      <w:r w:rsidRPr="00B07608">
        <w:rPr>
          <w:rFonts w:ascii="Times New Roman" w:eastAsia="宋体" w:hAnsi="Times New Roman" w:cs="Times New Roman"/>
          <w:sz w:val="22"/>
        </w:rPr>
        <w:t>.</w:t>
      </w:r>
    </w:p>
    <w:p w14:paraId="2A7AAA91" w14:textId="572701EB"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lastRenderedPageBreak/>
        <w:t>Article 20</w:t>
      </w:r>
      <w:r w:rsidRPr="00B07608">
        <w:rPr>
          <w:rFonts w:ascii="Times New Roman" w:eastAsia="宋体" w:hAnsi="Times New Roman" w:cs="Times New Roman"/>
          <w:sz w:val="22"/>
        </w:rPr>
        <w:tab/>
        <w:t>Registration refers to the submission of</w:t>
      </w:r>
      <w:bookmarkStart w:id="0" w:name="_Hlk65768273"/>
      <w:r w:rsidRPr="00B07608">
        <w:rPr>
          <w:rFonts w:ascii="Times New Roman" w:eastAsia="宋体" w:hAnsi="Times New Roman" w:cs="Times New Roman"/>
          <w:sz w:val="22"/>
        </w:rPr>
        <w:t xml:space="preserve"> all the trading terms to the Exchange</w:t>
      </w:r>
      <w:bookmarkEnd w:id="0"/>
      <w:r w:rsidRPr="00B07608">
        <w:rPr>
          <w:rFonts w:ascii="Times New Roman" w:eastAsia="宋体" w:hAnsi="Times New Roman" w:cs="Times New Roman"/>
          <w:sz w:val="22"/>
        </w:rPr>
        <w:t xml:space="preserve"> by </w:t>
      </w:r>
      <w:bookmarkStart w:id="1" w:name="_Hlk65768256"/>
      <w:r w:rsidRPr="00B07608">
        <w:rPr>
          <w:rFonts w:ascii="Times New Roman" w:eastAsia="宋体" w:hAnsi="Times New Roman" w:cs="Times New Roman"/>
          <w:sz w:val="22"/>
        </w:rPr>
        <w:t xml:space="preserve">the trading parties </w:t>
      </w:r>
      <w:bookmarkEnd w:id="1"/>
      <w:r w:rsidRPr="00B07608">
        <w:rPr>
          <w:rFonts w:ascii="Times New Roman" w:eastAsia="宋体" w:hAnsi="Times New Roman" w:cs="Times New Roman"/>
          <w:sz w:val="22"/>
        </w:rPr>
        <w:t>after entering into said trade.</w:t>
      </w:r>
    </w:p>
    <w:p w14:paraId="3EEE4CED" w14:textId="66BEC562"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21</w:t>
      </w:r>
      <w:r w:rsidRPr="00B07608">
        <w:rPr>
          <w:rFonts w:ascii="Times New Roman" w:eastAsia="宋体" w:hAnsi="Times New Roman" w:cs="Times New Roman"/>
          <w:sz w:val="22"/>
        </w:rPr>
        <w:tab/>
        <w:t>The party registering a margin-based price asking trade is referred to as the registrant, which shall be one of the trading parties or a broker they both authorize.</w:t>
      </w:r>
    </w:p>
    <w:p w14:paraId="5709E82D" w14:textId="1A927015"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22</w:t>
      </w:r>
      <w:r w:rsidRPr="00B07608">
        <w:rPr>
          <w:rFonts w:ascii="Times New Roman" w:eastAsia="宋体" w:hAnsi="Times New Roman" w:cs="Times New Roman"/>
          <w:sz w:val="22"/>
        </w:rPr>
        <w:tab/>
        <w:t xml:space="preserve">Registration </w:t>
      </w:r>
      <w:r w:rsidR="00FD0524" w:rsidRPr="00B07608">
        <w:rPr>
          <w:rFonts w:ascii="Times New Roman" w:eastAsia="宋体" w:hAnsi="Times New Roman" w:cs="Times New Roman"/>
          <w:sz w:val="22"/>
        </w:rPr>
        <w:t xml:space="preserve">information </w:t>
      </w:r>
      <w:r w:rsidRPr="00B07608">
        <w:rPr>
          <w:rFonts w:ascii="Times New Roman" w:eastAsia="宋体" w:hAnsi="Times New Roman" w:cs="Times New Roman"/>
          <w:sz w:val="22"/>
        </w:rPr>
        <w:t xml:space="preserve">shall be </w:t>
      </w:r>
      <w:r w:rsidR="00FD0524" w:rsidRPr="00B07608">
        <w:rPr>
          <w:rFonts w:ascii="Times New Roman" w:eastAsia="宋体" w:hAnsi="Times New Roman" w:cs="Times New Roman"/>
          <w:sz w:val="22"/>
        </w:rPr>
        <w:t xml:space="preserve">submitted </w:t>
      </w:r>
      <w:r w:rsidRPr="00B07608">
        <w:rPr>
          <w:rFonts w:ascii="Times New Roman" w:eastAsia="宋体" w:hAnsi="Times New Roman" w:cs="Times New Roman"/>
          <w:sz w:val="22"/>
        </w:rPr>
        <w:t xml:space="preserve">by the registrant agreed upon by the trading parties. Any separate or duplicate </w:t>
      </w:r>
      <w:r w:rsidR="00FD0524" w:rsidRPr="00B07608">
        <w:rPr>
          <w:rFonts w:ascii="Times New Roman" w:eastAsia="宋体" w:hAnsi="Times New Roman" w:cs="Times New Roman"/>
          <w:sz w:val="22"/>
        </w:rPr>
        <w:t>submission</w:t>
      </w:r>
      <w:r w:rsidRPr="00B07608">
        <w:rPr>
          <w:rFonts w:ascii="Times New Roman" w:eastAsia="宋体" w:hAnsi="Times New Roman" w:cs="Times New Roman"/>
          <w:sz w:val="22"/>
        </w:rPr>
        <w:t xml:space="preserve"> </w:t>
      </w:r>
      <w:r w:rsidR="009374FA" w:rsidRPr="00B07608">
        <w:rPr>
          <w:rFonts w:ascii="Times New Roman" w:eastAsia="宋体" w:hAnsi="Times New Roman" w:cs="Times New Roman"/>
          <w:sz w:val="22"/>
        </w:rPr>
        <w:t xml:space="preserve">is </w:t>
      </w:r>
      <w:r w:rsidRPr="00B07608">
        <w:rPr>
          <w:rFonts w:ascii="Times New Roman" w:eastAsia="宋体" w:hAnsi="Times New Roman" w:cs="Times New Roman"/>
          <w:sz w:val="22"/>
        </w:rPr>
        <w:t>deemed as for a different margin-based price asking trade.</w:t>
      </w:r>
    </w:p>
    <w:p w14:paraId="321CFC83" w14:textId="31E38D50"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23</w:t>
      </w:r>
      <w:r w:rsidRPr="00B07608">
        <w:rPr>
          <w:rFonts w:ascii="Times New Roman" w:eastAsia="宋体" w:hAnsi="Times New Roman" w:cs="Times New Roman"/>
          <w:sz w:val="22"/>
        </w:rPr>
        <w:tab/>
        <w:t xml:space="preserve">Registration </w:t>
      </w:r>
      <w:r w:rsidR="00FD0524" w:rsidRPr="00B07608">
        <w:rPr>
          <w:rFonts w:ascii="Times New Roman" w:eastAsia="宋体" w:hAnsi="Times New Roman" w:cs="Times New Roman"/>
          <w:sz w:val="22"/>
        </w:rPr>
        <w:t xml:space="preserve">information </w:t>
      </w:r>
      <w:r w:rsidRPr="00B07608">
        <w:rPr>
          <w:rFonts w:ascii="Times New Roman" w:eastAsia="宋体" w:hAnsi="Times New Roman" w:cs="Times New Roman"/>
          <w:sz w:val="22"/>
        </w:rPr>
        <w:t xml:space="preserve">shall be </w:t>
      </w:r>
      <w:r w:rsidR="00FD0524" w:rsidRPr="00B07608">
        <w:rPr>
          <w:rFonts w:ascii="Times New Roman" w:eastAsia="宋体" w:hAnsi="Times New Roman" w:cs="Times New Roman"/>
          <w:sz w:val="22"/>
        </w:rPr>
        <w:t xml:space="preserve">submitted according to </w:t>
      </w:r>
      <w:r w:rsidRPr="00B07608">
        <w:rPr>
          <w:rFonts w:ascii="Times New Roman" w:eastAsia="宋体" w:hAnsi="Times New Roman" w:cs="Times New Roman"/>
          <w:sz w:val="22"/>
        </w:rPr>
        <w:t>the following steps:</w:t>
      </w:r>
    </w:p>
    <w:p w14:paraId="1D0FF23A" w14:textId="75440C6B"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(1) The registrant submits </w:t>
      </w:r>
      <w:r w:rsidR="000E1665" w:rsidRPr="00B07608">
        <w:rPr>
          <w:rFonts w:ascii="Times New Roman" w:eastAsia="宋体" w:hAnsi="Times New Roman" w:cs="Times New Roman"/>
          <w:sz w:val="22"/>
        </w:rPr>
        <w:t xml:space="preserve">to the Exchange </w:t>
      </w:r>
      <w:r w:rsidRPr="00B07608">
        <w:rPr>
          <w:rFonts w:ascii="Times New Roman" w:eastAsia="宋体" w:hAnsi="Times New Roman" w:cs="Times New Roman"/>
          <w:sz w:val="22"/>
        </w:rPr>
        <w:t>all the trading terms</w:t>
      </w:r>
      <w:r w:rsidR="000E1665" w:rsidRPr="00B07608">
        <w:rPr>
          <w:rFonts w:ascii="Times New Roman" w:eastAsia="宋体" w:hAnsi="Times New Roman" w:cs="Times New Roman"/>
          <w:sz w:val="22"/>
        </w:rPr>
        <w:t xml:space="preserve"> required for trade registration</w:t>
      </w:r>
      <w:r w:rsidRPr="00B07608">
        <w:rPr>
          <w:rFonts w:ascii="Times New Roman" w:eastAsia="宋体" w:hAnsi="Times New Roman" w:cs="Times New Roman"/>
          <w:sz w:val="22"/>
        </w:rPr>
        <w:t>;</w:t>
      </w:r>
    </w:p>
    <w:p w14:paraId="07CC5D3C" w14:textId="164A3CDB"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(2) The Exchange reviews the terms for validity and completeness before accepting the registration.</w:t>
      </w:r>
    </w:p>
    <w:p w14:paraId="4621892F" w14:textId="43709068"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24</w:t>
      </w:r>
      <w:r w:rsidRPr="00B07608">
        <w:rPr>
          <w:rFonts w:ascii="Times New Roman" w:eastAsia="宋体" w:hAnsi="Times New Roman" w:cs="Times New Roman"/>
          <w:sz w:val="22"/>
        </w:rPr>
        <w:tab/>
      </w:r>
      <w:r w:rsidR="000E1665" w:rsidRPr="00B07608">
        <w:rPr>
          <w:rFonts w:ascii="Times New Roman" w:eastAsia="宋体" w:hAnsi="Times New Roman" w:cs="Times New Roman"/>
          <w:sz w:val="22"/>
        </w:rPr>
        <w:t>With respect to</w:t>
      </w:r>
      <w:r w:rsidRPr="00B07608">
        <w:rPr>
          <w:rFonts w:ascii="Times New Roman" w:eastAsia="宋体" w:hAnsi="Times New Roman" w:cs="Times New Roman"/>
          <w:sz w:val="22"/>
        </w:rPr>
        <w:t xml:space="preserve"> margin-based price asking </w:t>
      </w:r>
      <w:r w:rsidR="000E1665" w:rsidRPr="00B07608">
        <w:rPr>
          <w:rFonts w:ascii="Times New Roman" w:eastAsia="宋体" w:hAnsi="Times New Roman" w:cs="Times New Roman"/>
          <w:sz w:val="22"/>
        </w:rPr>
        <w:t>transactions</w:t>
      </w:r>
      <w:r w:rsidRPr="00B07608">
        <w:rPr>
          <w:rFonts w:ascii="Times New Roman" w:eastAsia="宋体" w:hAnsi="Times New Roman" w:cs="Times New Roman"/>
          <w:sz w:val="22"/>
        </w:rPr>
        <w:t xml:space="preserve">, confirmation refers to the act of relevant parties </w:t>
      </w:r>
      <w:r w:rsidR="000D7ADE" w:rsidRPr="00B07608">
        <w:rPr>
          <w:rFonts w:ascii="Times New Roman" w:eastAsia="宋体" w:hAnsi="Times New Roman" w:cs="Times New Roman"/>
          <w:sz w:val="22"/>
        </w:rPr>
        <w:t xml:space="preserve">to </w:t>
      </w:r>
      <w:r w:rsidRPr="00B07608">
        <w:rPr>
          <w:rFonts w:ascii="Times New Roman" w:eastAsia="宋体" w:hAnsi="Times New Roman" w:cs="Times New Roman"/>
          <w:sz w:val="22"/>
        </w:rPr>
        <w:t xml:space="preserve">confirm an executed trade following the registrant’s </w:t>
      </w:r>
      <w:r w:rsidR="000E1665" w:rsidRPr="00B07608">
        <w:rPr>
          <w:rFonts w:ascii="Times New Roman" w:eastAsia="宋体" w:hAnsi="Times New Roman" w:cs="Times New Roman"/>
          <w:sz w:val="22"/>
        </w:rPr>
        <w:t xml:space="preserve">submission of </w:t>
      </w:r>
      <w:r w:rsidRPr="00B07608">
        <w:rPr>
          <w:rFonts w:ascii="Times New Roman" w:eastAsia="宋体" w:hAnsi="Times New Roman" w:cs="Times New Roman"/>
          <w:sz w:val="22"/>
        </w:rPr>
        <w:t>registration</w:t>
      </w:r>
      <w:r w:rsidR="000E1665" w:rsidRPr="00B07608">
        <w:rPr>
          <w:rFonts w:ascii="Times New Roman" w:eastAsia="宋体" w:hAnsi="Times New Roman" w:cs="Times New Roman"/>
          <w:sz w:val="22"/>
        </w:rPr>
        <w:t xml:space="preserve"> information</w:t>
      </w:r>
      <w:r w:rsidRPr="00B07608">
        <w:rPr>
          <w:rFonts w:ascii="Times New Roman" w:eastAsia="宋体" w:hAnsi="Times New Roman" w:cs="Times New Roman"/>
          <w:sz w:val="22"/>
        </w:rPr>
        <w:t>. Confirmation consists of three phases: customer confirmation, member confirmation</w:t>
      </w:r>
      <w:r w:rsidR="00BD5CE6" w:rsidRPr="00B07608">
        <w:rPr>
          <w:rFonts w:ascii="Times New Roman" w:eastAsia="宋体" w:hAnsi="Times New Roman" w:cs="Times New Roman"/>
          <w:sz w:val="22"/>
        </w:rPr>
        <w:t>,</w:t>
      </w:r>
      <w:r w:rsidRPr="00B07608">
        <w:rPr>
          <w:rFonts w:ascii="Times New Roman" w:eastAsia="宋体" w:hAnsi="Times New Roman" w:cs="Times New Roman"/>
          <w:sz w:val="22"/>
        </w:rPr>
        <w:t xml:space="preserve"> and SGE confirmation.</w:t>
      </w:r>
    </w:p>
    <w:p w14:paraId="0F98A75E" w14:textId="014E8EE6"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(1) Customer confirmation means the act of the customer to confirm </w:t>
      </w:r>
      <w:r w:rsidR="00C55B0C" w:rsidRPr="00B07608">
        <w:rPr>
          <w:rFonts w:ascii="Times New Roman" w:eastAsia="宋体" w:hAnsi="Times New Roman" w:cs="Times New Roman"/>
          <w:sz w:val="22"/>
        </w:rPr>
        <w:t xml:space="preserve">that the </w:t>
      </w:r>
      <w:r w:rsidRPr="00B07608">
        <w:rPr>
          <w:rFonts w:ascii="Times New Roman" w:eastAsia="宋体" w:hAnsi="Times New Roman" w:cs="Times New Roman"/>
          <w:sz w:val="22"/>
        </w:rPr>
        <w:t xml:space="preserve">terms of </w:t>
      </w:r>
      <w:r w:rsidR="00C55B0C" w:rsidRPr="00B07608">
        <w:rPr>
          <w:rFonts w:ascii="Times New Roman" w:eastAsia="宋体" w:hAnsi="Times New Roman" w:cs="Times New Roman"/>
          <w:sz w:val="22"/>
        </w:rPr>
        <w:t xml:space="preserve">the </w:t>
      </w:r>
      <w:r w:rsidRPr="00B07608">
        <w:rPr>
          <w:rFonts w:ascii="Times New Roman" w:eastAsia="宋体" w:hAnsi="Times New Roman" w:cs="Times New Roman"/>
          <w:sz w:val="22"/>
        </w:rPr>
        <w:t>trade</w:t>
      </w:r>
      <w:r w:rsidR="00C55B0C" w:rsidRPr="00B07608">
        <w:rPr>
          <w:rFonts w:ascii="Times New Roman" w:eastAsia="宋体" w:hAnsi="Times New Roman" w:cs="Times New Roman"/>
          <w:sz w:val="22"/>
        </w:rPr>
        <w:t xml:space="preserve"> are correct</w:t>
      </w:r>
      <w:r w:rsidRPr="00B07608">
        <w:rPr>
          <w:rFonts w:ascii="Times New Roman" w:eastAsia="宋体" w:hAnsi="Times New Roman" w:cs="Times New Roman"/>
          <w:sz w:val="22"/>
        </w:rPr>
        <w:t xml:space="preserve">. </w:t>
      </w:r>
      <w:r w:rsidR="00C55B0C" w:rsidRPr="00B07608">
        <w:rPr>
          <w:rFonts w:ascii="Times New Roman" w:eastAsia="宋体" w:hAnsi="Times New Roman" w:cs="Times New Roman"/>
          <w:sz w:val="22"/>
        </w:rPr>
        <w:t>Customer confirmation is not necessary for the side that registers the trade</w:t>
      </w:r>
      <w:r w:rsidRPr="00B07608">
        <w:rPr>
          <w:rFonts w:ascii="Times New Roman" w:eastAsia="宋体" w:hAnsi="Times New Roman" w:cs="Times New Roman"/>
          <w:sz w:val="22"/>
        </w:rPr>
        <w:t>.</w:t>
      </w:r>
    </w:p>
    <w:p w14:paraId="6E598C13" w14:textId="2CADE353"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(2) Member confirmation </w:t>
      </w:r>
      <w:r w:rsidR="00C55B0C" w:rsidRPr="00B07608">
        <w:rPr>
          <w:rFonts w:ascii="Times New Roman" w:eastAsia="宋体" w:hAnsi="Times New Roman" w:cs="Times New Roman"/>
          <w:sz w:val="22"/>
        </w:rPr>
        <w:t>follows</w:t>
      </w:r>
      <w:r w:rsidRPr="00B07608">
        <w:rPr>
          <w:rFonts w:ascii="Times New Roman" w:eastAsia="宋体" w:hAnsi="Times New Roman" w:cs="Times New Roman"/>
          <w:sz w:val="22"/>
        </w:rPr>
        <w:t xml:space="preserve"> customer confirmation and means the act of the member to confirm that it will perform trade clearing on behalf of the customer. </w:t>
      </w:r>
      <w:r w:rsidR="002F1E90" w:rsidRPr="00B07608">
        <w:rPr>
          <w:rFonts w:ascii="Times New Roman" w:eastAsia="宋体" w:hAnsi="Times New Roman" w:cs="Times New Roman"/>
          <w:sz w:val="22"/>
        </w:rPr>
        <w:t xml:space="preserve">Upon member confirmation the Exchange freezes the </w:t>
      </w:r>
      <w:r w:rsidR="00ED408C" w:rsidRPr="00B07608">
        <w:rPr>
          <w:rFonts w:ascii="Times New Roman" w:eastAsia="宋体" w:hAnsi="Times New Roman" w:cs="Times New Roman"/>
          <w:sz w:val="22"/>
        </w:rPr>
        <w:t xml:space="preserve">necessary </w:t>
      </w:r>
      <w:r w:rsidR="002F1E90" w:rsidRPr="00B07608">
        <w:rPr>
          <w:rFonts w:ascii="Times New Roman" w:eastAsia="宋体" w:hAnsi="Times New Roman" w:cs="Times New Roman"/>
          <w:sz w:val="22"/>
        </w:rPr>
        <w:t>margin under the member’s corresponding trading seat</w:t>
      </w:r>
      <w:r w:rsidRPr="00B07608">
        <w:rPr>
          <w:rFonts w:ascii="Times New Roman" w:eastAsia="宋体" w:hAnsi="Times New Roman" w:cs="Times New Roman"/>
          <w:sz w:val="22"/>
        </w:rPr>
        <w:t>.</w:t>
      </w:r>
    </w:p>
    <w:p w14:paraId="7C5FA751" w14:textId="47000792"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(3) SGE confirmation </w:t>
      </w:r>
      <w:r w:rsidR="002F1E90" w:rsidRPr="00B07608">
        <w:rPr>
          <w:rFonts w:ascii="Times New Roman" w:eastAsia="宋体" w:hAnsi="Times New Roman" w:cs="Times New Roman"/>
          <w:sz w:val="22"/>
        </w:rPr>
        <w:t>follows</w:t>
      </w:r>
      <w:r w:rsidRPr="00B07608">
        <w:rPr>
          <w:rFonts w:ascii="Times New Roman" w:eastAsia="宋体" w:hAnsi="Times New Roman" w:cs="Times New Roman"/>
          <w:sz w:val="22"/>
        </w:rPr>
        <w:t xml:space="preserve"> </w:t>
      </w:r>
      <w:r w:rsidR="00C431D9" w:rsidRPr="00B07608">
        <w:rPr>
          <w:rFonts w:ascii="Times New Roman" w:eastAsia="宋体" w:hAnsi="Times New Roman" w:cs="Times New Roman"/>
          <w:sz w:val="22"/>
        </w:rPr>
        <w:t xml:space="preserve">member </w:t>
      </w:r>
      <w:r w:rsidRPr="00B07608">
        <w:rPr>
          <w:rFonts w:ascii="Times New Roman" w:eastAsia="宋体" w:hAnsi="Times New Roman" w:cs="Times New Roman"/>
          <w:sz w:val="22"/>
        </w:rPr>
        <w:t xml:space="preserve">confirmation </w:t>
      </w:r>
      <w:r w:rsidR="00EE0200" w:rsidRPr="00B07608">
        <w:rPr>
          <w:rFonts w:ascii="Times New Roman" w:eastAsia="宋体" w:hAnsi="Times New Roman" w:cs="Times New Roman"/>
          <w:sz w:val="22"/>
        </w:rPr>
        <w:t>from</w:t>
      </w:r>
      <w:r w:rsidR="00ED408C" w:rsidRPr="00B07608">
        <w:rPr>
          <w:rFonts w:ascii="Times New Roman" w:eastAsia="宋体" w:hAnsi="Times New Roman" w:cs="Times New Roman"/>
          <w:sz w:val="22"/>
        </w:rPr>
        <w:t xml:space="preserve"> </w:t>
      </w:r>
      <w:r w:rsidRPr="00B07608">
        <w:rPr>
          <w:rFonts w:ascii="Times New Roman" w:eastAsia="宋体" w:hAnsi="Times New Roman" w:cs="Times New Roman"/>
          <w:sz w:val="22"/>
        </w:rPr>
        <w:t xml:space="preserve">each of the two trading </w:t>
      </w:r>
      <w:r w:rsidR="00ED408C" w:rsidRPr="00B07608">
        <w:rPr>
          <w:rFonts w:ascii="Times New Roman" w:eastAsia="宋体" w:hAnsi="Times New Roman" w:cs="Times New Roman"/>
          <w:sz w:val="22"/>
        </w:rPr>
        <w:t xml:space="preserve">parties </w:t>
      </w:r>
      <w:r w:rsidRPr="00B07608">
        <w:rPr>
          <w:rFonts w:ascii="Times New Roman" w:eastAsia="宋体" w:hAnsi="Times New Roman" w:cs="Times New Roman"/>
          <w:sz w:val="22"/>
        </w:rPr>
        <w:t xml:space="preserve">and means the act of the Exchange to </w:t>
      </w:r>
      <w:r w:rsidR="00EE0200" w:rsidRPr="00B07608">
        <w:rPr>
          <w:rFonts w:ascii="Times New Roman" w:eastAsia="宋体" w:hAnsi="Times New Roman" w:cs="Times New Roman"/>
          <w:sz w:val="22"/>
        </w:rPr>
        <w:t xml:space="preserve">confirm that it will </w:t>
      </w:r>
      <w:r w:rsidR="00430CD7" w:rsidRPr="00B07608">
        <w:rPr>
          <w:rFonts w:ascii="Times New Roman" w:eastAsia="宋体" w:hAnsi="Times New Roman" w:cs="Times New Roman"/>
          <w:sz w:val="22"/>
        </w:rPr>
        <w:t xml:space="preserve">process </w:t>
      </w:r>
      <w:r w:rsidRPr="00B07608">
        <w:rPr>
          <w:rFonts w:ascii="Times New Roman" w:eastAsia="宋体" w:hAnsi="Times New Roman" w:cs="Times New Roman"/>
          <w:sz w:val="22"/>
        </w:rPr>
        <w:t xml:space="preserve">the </w:t>
      </w:r>
      <w:r w:rsidR="00430CD7" w:rsidRPr="00B07608">
        <w:rPr>
          <w:rFonts w:ascii="Times New Roman" w:eastAsia="宋体" w:hAnsi="Times New Roman" w:cs="Times New Roman"/>
          <w:sz w:val="22"/>
        </w:rPr>
        <w:t xml:space="preserve">position changes and recalculate and readjust </w:t>
      </w:r>
      <w:r w:rsidRPr="00B07608">
        <w:rPr>
          <w:rFonts w:ascii="Times New Roman" w:eastAsia="宋体" w:hAnsi="Times New Roman" w:cs="Times New Roman"/>
          <w:sz w:val="22"/>
        </w:rPr>
        <w:t>the margin.</w:t>
      </w:r>
    </w:p>
    <w:p w14:paraId="7CA2B659" w14:textId="77777777" w:rsidR="00D6793E" w:rsidRPr="00B07608" w:rsidRDefault="00D6793E" w:rsidP="003A2017">
      <w:pPr>
        <w:pStyle w:val="2"/>
      </w:pPr>
      <w:r w:rsidRPr="00B07608">
        <w:t>Chapter V</w:t>
      </w:r>
      <w:r w:rsidRPr="00B07608">
        <w:tab/>
        <w:t>Risk Management</w:t>
      </w:r>
    </w:p>
    <w:p w14:paraId="2B8CE6EF" w14:textId="411D0FC9" w:rsidR="00011290"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25</w:t>
      </w:r>
      <w:r w:rsidRPr="00B07608">
        <w:rPr>
          <w:rFonts w:ascii="Times New Roman" w:eastAsia="宋体" w:hAnsi="Times New Roman" w:cs="Times New Roman"/>
          <w:sz w:val="22"/>
        </w:rPr>
        <w:tab/>
        <w:t xml:space="preserve">The Exchange </w:t>
      </w:r>
      <w:r w:rsidR="00011290" w:rsidRPr="00B07608">
        <w:rPr>
          <w:rFonts w:ascii="Times New Roman" w:eastAsia="宋体" w:hAnsi="Times New Roman" w:cs="Times New Roman"/>
          <w:sz w:val="22"/>
        </w:rPr>
        <w:t xml:space="preserve">implements margin requirements, position limits, large position reporting, forced liquidation, risk warning, and </w:t>
      </w:r>
      <w:r w:rsidR="0063290A" w:rsidRPr="00B07608">
        <w:rPr>
          <w:rFonts w:ascii="Times New Roman" w:eastAsia="宋体" w:hAnsi="Times New Roman" w:cs="Times New Roman"/>
          <w:sz w:val="22"/>
        </w:rPr>
        <w:t>market surveillance</w:t>
      </w:r>
      <w:r w:rsidR="00011290" w:rsidRPr="00B07608">
        <w:rPr>
          <w:rFonts w:ascii="Times New Roman" w:eastAsia="宋体" w:hAnsi="Times New Roman" w:cs="Times New Roman"/>
          <w:sz w:val="22"/>
        </w:rPr>
        <w:t xml:space="preserve"> </w:t>
      </w:r>
      <w:r w:rsidR="001476D7" w:rsidRPr="00B07608">
        <w:rPr>
          <w:rFonts w:ascii="Times New Roman" w:eastAsia="宋体" w:hAnsi="Times New Roman" w:cs="Times New Roman"/>
          <w:sz w:val="22"/>
        </w:rPr>
        <w:t>with respect to margin-based price asking transactions.</w:t>
      </w:r>
    </w:p>
    <w:p w14:paraId="223981A8" w14:textId="443383C9"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26</w:t>
      </w:r>
      <w:r w:rsidRPr="00B07608">
        <w:rPr>
          <w:rFonts w:ascii="Times New Roman" w:eastAsia="宋体" w:hAnsi="Times New Roman" w:cs="Times New Roman"/>
          <w:sz w:val="22"/>
        </w:rPr>
        <w:tab/>
        <w:t xml:space="preserve">The Exchange enforces margin requirements. Margins are used to settle trades and ensure performance. The two types of margin are Settlement Reserve and Trading Margin. Settlement Reserve refers to the portion of margin not yet in use to maintain an order or trade. The minimum balance of Settlement Reserve shall be determined by the Exchange. Trading Margin refers to the portion of margin in use to maintain existing orders and trades. The rate of Trading Margin for each contract may be adjusted by the Exchange based on market conditions. Trading Margin collected by a member from its customer shall not be lower than </w:t>
      </w:r>
      <w:r w:rsidRPr="00B07608">
        <w:rPr>
          <w:rFonts w:ascii="Times New Roman" w:eastAsia="宋体" w:hAnsi="Times New Roman" w:cs="Times New Roman"/>
          <w:sz w:val="22"/>
        </w:rPr>
        <w:lastRenderedPageBreak/>
        <w:t>that imposed on the member by the Exchange</w:t>
      </w:r>
      <w:r w:rsidR="00631BD4" w:rsidRPr="00B07608">
        <w:rPr>
          <w:rFonts w:ascii="Times New Roman" w:eastAsia="宋体" w:hAnsi="Times New Roman" w:cs="Times New Roman"/>
          <w:sz w:val="22"/>
        </w:rPr>
        <w:t>.</w:t>
      </w:r>
    </w:p>
    <w:p w14:paraId="4411BC4E" w14:textId="4EF41B24" w:rsidR="001476D7" w:rsidRPr="00B07608" w:rsidRDefault="001476D7" w:rsidP="00D6793E">
      <w:pPr>
        <w:tabs>
          <w:tab w:val="left" w:pos="1276"/>
        </w:tabs>
        <w:snapToGrid w:val="0"/>
        <w:spacing w:afterLines="100" w:after="312" w:line="276" w:lineRule="auto"/>
        <w:jc w:val="left"/>
        <w:rPr>
          <w:rFonts w:ascii="Times New Roman" w:eastAsia="宋体" w:hAnsi="Times New Roman" w:cs="Times New Roman"/>
          <w:color w:val="00B0F0"/>
          <w:sz w:val="22"/>
        </w:rPr>
      </w:pPr>
      <w:r w:rsidRPr="00B07608">
        <w:rPr>
          <w:rFonts w:ascii="Times New Roman" w:eastAsia="宋体" w:hAnsi="Times New Roman" w:cs="Times New Roman"/>
          <w:sz w:val="22"/>
        </w:rPr>
        <w:t>The Exchange may adjust the margin requirement or its calculation method as necessary in view of market risks. The specific margin requirement and calculation method shall be governed by the announcements of the Exchange.</w:t>
      </w:r>
    </w:p>
    <w:p w14:paraId="2D03EDAE"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27</w:t>
      </w:r>
      <w:r w:rsidRPr="00B07608">
        <w:rPr>
          <w:rFonts w:ascii="Times New Roman" w:eastAsia="宋体" w:hAnsi="Times New Roman" w:cs="Times New Roman"/>
          <w:sz w:val="22"/>
        </w:rPr>
        <w:tab/>
        <w:t>The Exchange enforces position limits. Position limit refers to the maximum size of long positions or short positions in a particular contract each member seat or customer is permitted by the Exchange to hold. The Exchange sets position limits separately for member seats and customers.</w:t>
      </w:r>
    </w:p>
    <w:p w14:paraId="0AC1F5F2"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28</w:t>
      </w:r>
      <w:r w:rsidRPr="00B07608">
        <w:rPr>
          <w:rFonts w:ascii="Times New Roman" w:eastAsia="宋体" w:hAnsi="Times New Roman" w:cs="Times New Roman"/>
          <w:sz w:val="22"/>
        </w:rPr>
        <w:tab/>
        <w:t xml:space="preserve">The Exchange enforces large position reporting. When the open positions held by a member seat or customer in a particular contract reach the reporting threshold set by the Exchange, or when required by the Exchange, the member or customer shall report details on its funds, positions, delivery intents, etc. to the Exchange or SGEI. </w:t>
      </w:r>
    </w:p>
    <w:p w14:paraId="4E04EE33"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The Exchange may set and adjust the reporting threshold in view of market risks.</w:t>
      </w:r>
    </w:p>
    <w:p w14:paraId="2E32F797" w14:textId="2A163486"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29</w:t>
      </w:r>
      <w:r w:rsidRPr="00B07608">
        <w:rPr>
          <w:rFonts w:ascii="Times New Roman" w:eastAsia="宋体" w:hAnsi="Times New Roman" w:cs="Times New Roman"/>
          <w:sz w:val="22"/>
        </w:rPr>
        <w:tab/>
        <w:t>The Exchange implements a forced liquidation regime. The Exchange or SGEI has the power to liquidate the positions of a member if it fails to respond to a margin call, and of a member or customer if it is holding positions above limit or if it is under any other circumstance that, according to the rules of the Exchange, warrants the forced liquidation.</w:t>
      </w:r>
    </w:p>
    <w:p w14:paraId="74512642"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Gains from forced liquidation shall be handled in accordance with applicable rules. Expenses and losses from forced liquidation, including additional losses from failure to implement liquidation due to market factors, shall be borne by the relevant member or customer.</w:t>
      </w:r>
    </w:p>
    <w:p w14:paraId="683599FA"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30</w:t>
      </w:r>
      <w:r w:rsidRPr="00B07608">
        <w:rPr>
          <w:rFonts w:ascii="Times New Roman" w:eastAsia="宋体" w:hAnsi="Times New Roman" w:cs="Times New Roman"/>
          <w:sz w:val="22"/>
        </w:rPr>
        <w:tab/>
        <w:t>The Exchange implements a risk warning regime. The Exchange may, whenever it deems necessary, take one or more of the following actions to warn against and mitigate risks: requiring a member or customer to submit a report; arranging a warning appointment; issuing a warning letter; and/or issuing a risk warning announcement.</w:t>
      </w:r>
    </w:p>
    <w:p w14:paraId="6B60EA27"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31</w:t>
      </w:r>
      <w:r w:rsidRPr="00B07608">
        <w:rPr>
          <w:rFonts w:ascii="Times New Roman" w:eastAsia="宋体" w:hAnsi="Times New Roman" w:cs="Times New Roman"/>
          <w:sz w:val="22"/>
        </w:rPr>
        <w:tab/>
        <w:t>The Exchange implements market surveillance regime. Upon detection of any irregular trading activities, the Exchange shall have the power to take appropriate actions against the relevant member or customer.</w:t>
      </w:r>
    </w:p>
    <w:p w14:paraId="0003CE50"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32</w:t>
      </w:r>
      <w:r w:rsidRPr="00B07608">
        <w:rPr>
          <w:rFonts w:ascii="Times New Roman" w:eastAsia="宋体" w:hAnsi="Times New Roman" w:cs="Times New Roman"/>
          <w:sz w:val="22"/>
        </w:rPr>
        <w:tab/>
        <w:t xml:space="preserve">When a member fails to perform an obligation under a trade, the Exchange shall have the power to: </w:t>
      </w:r>
    </w:p>
    <w:p w14:paraId="2D0E7528"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(1) suspend the member from opening new positions; </w:t>
      </w:r>
    </w:p>
    <w:p w14:paraId="1EB14BD0"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(2) liquidate the member’s positions by rules and apply the margins so released toward contract performance and compensation; </w:t>
      </w:r>
    </w:p>
    <w:p w14:paraId="12B6286B" w14:textId="2E8D412D"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(3) liquidate the member’s collaterals posted as margin and apply the proceeds toward contract performance and compensation;</w:t>
      </w:r>
    </w:p>
    <w:p w14:paraId="71395564" w14:textId="2DCCCDF1"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lastRenderedPageBreak/>
        <w:t>(4) dispose of the member’s pledged assets in accordance with the law;</w:t>
      </w:r>
    </w:p>
    <w:p w14:paraId="3F8DCE95" w14:textId="7C0A2F7D"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(5) dispose of the member’s physical inventory in accordance with the law;</w:t>
      </w:r>
    </w:p>
    <w:p w14:paraId="3E3B05EB" w14:textId="4016321C"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(6) apply the member’s membership fees, proceeds from membership transfer, or any other funds toward performance and compensation;</w:t>
      </w:r>
    </w:p>
    <w:p w14:paraId="795ECF66" w14:textId="670EDBE1"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(7) draw on the SGE Risk Management Fund by rules;</w:t>
      </w:r>
    </w:p>
    <w:p w14:paraId="454783C0"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(8) draw on the account of the Exchange by rules; and/or </w:t>
      </w:r>
    </w:p>
    <w:p w14:paraId="639634CA" w14:textId="25055006"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(9) take other actions within the power of the Exchange.</w:t>
      </w:r>
    </w:p>
    <w:p w14:paraId="147413A2"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After performing trade obligations on behalf of the defaulting member, the Exchange shall obtain the corresponding right of recourse against the member. </w:t>
      </w:r>
    </w:p>
    <w:p w14:paraId="4421F70E"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SGEI shall have the power to take measures under Items (1) to (5) above when an International Member fails to perform its trade obligations.</w:t>
      </w:r>
    </w:p>
    <w:p w14:paraId="660FBFAE"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33</w:t>
      </w:r>
      <w:r w:rsidRPr="00B07608">
        <w:rPr>
          <w:rFonts w:ascii="Times New Roman" w:eastAsia="宋体" w:hAnsi="Times New Roman" w:cs="Times New Roman"/>
          <w:sz w:val="22"/>
        </w:rPr>
        <w:tab/>
        <w:t>Each member shall be responsible for controlling the trading risks of its customers. The member has the power to liquidate the positions of a customer who has insufficient Trading Margin, provided that the liquidation is carried out in adherence to the standards and conditions specified in the agreements between them and the customer is notified in advance through the means previously agreed upon. Any losses resulting from such liquidation shall be borne by the customer.</w:t>
      </w:r>
    </w:p>
    <w:p w14:paraId="05397020"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34</w:t>
      </w:r>
      <w:r w:rsidRPr="00B07608">
        <w:rPr>
          <w:rFonts w:ascii="Times New Roman" w:eastAsia="宋体" w:hAnsi="Times New Roman" w:cs="Times New Roman"/>
          <w:sz w:val="22"/>
        </w:rPr>
        <w:tab/>
        <w:t>If the Exchange or SGEI has reasons to believe that a violation of the market rules of the Exchange by a member or customer is causing or is expected to cause a material impact on the market, the Exchange or SGEI may take any of the following stopgap measures against the member or customer to prevent the increase and spread of the impact:</w:t>
      </w:r>
    </w:p>
    <w:p w14:paraId="078F1D0C" w14:textId="10BB35F6"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(1) restricting Settlement Account Deposits;</w:t>
      </w:r>
    </w:p>
    <w:p w14:paraId="185A094A" w14:textId="22DCEEA0"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(2) restricting Settlement Account Withdrawals;</w:t>
      </w:r>
    </w:p>
    <w:p w14:paraId="51230AA3"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(3) restricting the opening of new positions;</w:t>
      </w:r>
    </w:p>
    <w:p w14:paraId="485BF63E" w14:textId="57DBB5DE"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(4) raising margin requirements;</w:t>
      </w:r>
    </w:p>
    <w:p w14:paraId="0B027900"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 xml:space="preserve">(5) requiring the closing of positions within a specified time limit; </w:t>
      </w:r>
    </w:p>
    <w:p w14:paraId="78E8AB9F" w14:textId="7911DCEE"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(6) enforcing liquidation of open positions; and</w:t>
      </w:r>
    </w:p>
    <w:p w14:paraId="110CDC90"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sz w:val="22"/>
        </w:rPr>
        <w:t>(7) any other stopgap measures that the Exchange or SGEI can take.</w:t>
      </w:r>
    </w:p>
    <w:p w14:paraId="35764612" w14:textId="77777777" w:rsidR="00D6793E" w:rsidRPr="00B07608" w:rsidRDefault="00D6793E" w:rsidP="003A2017">
      <w:pPr>
        <w:pStyle w:val="2"/>
      </w:pPr>
      <w:r w:rsidRPr="00B07608">
        <w:lastRenderedPageBreak/>
        <w:t>Chapter VI</w:t>
      </w:r>
      <w:r w:rsidRPr="00B07608">
        <w:tab/>
        <w:t>Clearing, Settlement and Delivery</w:t>
      </w:r>
    </w:p>
    <w:p w14:paraId="156AFE81" w14:textId="378203A8"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35</w:t>
      </w:r>
      <w:r w:rsidRPr="00B07608">
        <w:rPr>
          <w:rFonts w:ascii="Times New Roman" w:eastAsia="宋体" w:hAnsi="Times New Roman" w:cs="Times New Roman"/>
          <w:b/>
          <w:bCs/>
          <w:sz w:val="22"/>
        </w:rPr>
        <w:tab/>
      </w:r>
      <w:r w:rsidRPr="00B07608">
        <w:rPr>
          <w:rFonts w:ascii="Times New Roman" w:eastAsia="宋体" w:hAnsi="Times New Roman" w:cs="Times New Roman"/>
          <w:sz w:val="22"/>
        </w:rPr>
        <w:t>The Exchange performs trades clearing and settlement using the “centralization, netting, and multi-tiered” model</w:t>
      </w:r>
      <w:r w:rsidR="00675953" w:rsidRPr="00B07608">
        <w:rPr>
          <w:rFonts w:ascii="Times New Roman" w:eastAsia="宋体" w:hAnsi="Times New Roman" w:cs="Times New Roman"/>
          <w:sz w:val="22"/>
        </w:rPr>
        <w:t xml:space="preserve">. The Exchange clears and settles </w:t>
      </w:r>
      <w:r w:rsidRPr="00B07608">
        <w:rPr>
          <w:rFonts w:ascii="Times New Roman" w:eastAsia="宋体" w:hAnsi="Times New Roman" w:cs="Times New Roman"/>
          <w:sz w:val="22"/>
        </w:rPr>
        <w:t xml:space="preserve">for members based on </w:t>
      </w:r>
      <w:r w:rsidR="00675953" w:rsidRPr="00B07608">
        <w:rPr>
          <w:rFonts w:ascii="Times New Roman" w:eastAsia="宋体" w:hAnsi="Times New Roman" w:cs="Times New Roman"/>
          <w:sz w:val="22"/>
        </w:rPr>
        <w:t xml:space="preserve">trading </w:t>
      </w:r>
      <w:r w:rsidRPr="00B07608">
        <w:rPr>
          <w:rFonts w:ascii="Times New Roman" w:eastAsia="宋体" w:hAnsi="Times New Roman" w:cs="Times New Roman"/>
          <w:sz w:val="22"/>
        </w:rPr>
        <w:t>seats.</w:t>
      </w:r>
    </w:p>
    <w:p w14:paraId="44B245CC"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36</w:t>
      </w:r>
      <w:r w:rsidRPr="00B07608">
        <w:rPr>
          <w:rFonts w:ascii="Times New Roman" w:eastAsia="宋体" w:hAnsi="Times New Roman" w:cs="Times New Roman"/>
          <w:sz w:val="22"/>
        </w:rPr>
        <w:tab/>
        <w:t>The Exchange adopts a “one account, one code” system for physical delivery. All delivery activities of a member or customer will be performed through and reflected in its unique Bullion Account.</w:t>
      </w:r>
    </w:p>
    <w:p w14:paraId="062C8006"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37</w:t>
      </w:r>
      <w:r w:rsidRPr="00B07608">
        <w:rPr>
          <w:rFonts w:ascii="Times New Roman" w:eastAsia="宋体" w:hAnsi="Times New Roman" w:cs="Times New Roman"/>
          <w:sz w:val="22"/>
        </w:rPr>
        <w:tab/>
        <w:t xml:space="preserve">Margin-based price asking trades are subject to the same management system for funds account and Bullion Account as price matching trades and other trading modes offered by the Exchange. </w:t>
      </w:r>
    </w:p>
    <w:p w14:paraId="743822A5" w14:textId="0BF0083E"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38</w:t>
      </w:r>
      <w:r w:rsidRPr="00B07608">
        <w:rPr>
          <w:rFonts w:ascii="Times New Roman" w:eastAsia="宋体" w:hAnsi="Times New Roman" w:cs="Times New Roman"/>
          <w:b/>
          <w:bCs/>
          <w:sz w:val="22"/>
        </w:rPr>
        <w:tab/>
      </w:r>
      <w:r w:rsidRPr="00B07608">
        <w:rPr>
          <w:rFonts w:ascii="Times New Roman" w:eastAsia="宋体" w:hAnsi="Times New Roman" w:cs="Times New Roman"/>
          <w:sz w:val="22"/>
        </w:rPr>
        <w:t xml:space="preserve">The day-end clearing </w:t>
      </w:r>
      <w:r w:rsidR="002A3550" w:rsidRPr="00B07608">
        <w:rPr>
          <w:rFonts w:ascii="Times New Roman" w:eastAsia="宋体" w:hAnsi="Times New Roman" w:cs="Times New Roman"/>
          <w:sz w:val="22"/>
        </w:rPr>
        <w:t xml:space="preserve">and delivery </w:t>
      </w:r>
      <w:r w:rsidRPr="00B07608">
        <w:rPr>
          <w:rFonts w:ascii="Times New Roman" w:eastAsia="宋体" w:hAnsi="Times New Roman" w:cs="Times New Roman"/>
          <w:sz w:val="22"/>
        </w:rPr>
        <w:t xml:space="preserve">sequence </w:t>
      </w:r>
      <w:r w:rsidR="00BE4761" w:rsidRPr="00B07608">
        <w:rPr>
          <w:rFonts w:ascii="Times New Roman" w:eastAsia="宋体" w:hAnsi="Times New Roman" w:cs="Times New Roman"/>
          <w:sz w:val="22"/>
        </w:rPr>
        <w:t xml:space="preserve">for </w:t>
      </w:r>
      <w:r w:rsidRPr="00B07608">
        <w:rPr>
          <w:rFonts w:ascii="Times New Roman" w:eastAsia="宋体" w:hAnsi="Times New Roman" w:cs="Times New Roman"/>
          <w:sz w:val="22"/>
        </w:rPr>
        <w:t xml:space="preserve">price asking contracts </w:t>
      </w:r>
      <w:r w:rsidR="002A3550" w:rsidRPr="00B07608">
        <w:rPr>
          <w:rFonts w:ascii="Times New Roman" w:eastAsia="宋体" w:hAnsi="Times New Roman" w:cs="Times New Roman"/>
          <w:sz w:val="22"/>
        </w:rPr>
        <w:t xml:space="preserve">is </w:t>
      </w:r>
      <w:r w:rsidRPr="00B07608">
        <w:rPr>
          <w:rFonts w:ascii="Times New Roman" w:eastAsia="宋体" w:hAnsi="Times New Roman" w:cs="Times New Roman"/>
          <w:sz w:val="22"/>
        </w:rPr>
        <w:t xml:space="preserve">margin-based price asking contracts </w:t>
      </w:r>
      <w:r w:rsidR="00A35149" w:rsidRPr="00B07608">
        <w:rPr>
          <w:rFonts w:ascii="Times New Roman" w:eastAsia="宋体" w:hAnsi="Times New Roman" w:cs="Times New Roman"/>
          <w:sz w:val="22"/>
        </w:rPr>
        <w:t xml:space="preserve">then </w:t>
      </w:r>
      <w:r w:rsidRPr="00B07608">
        <w:rPr>
          <w:rFonts w:ascii="Times New Roman" w:eastAsia="宋体" w:hAnsi="Times New Roman" w:cs="Times New Roman"/>
          <w:sz w:val="22"/>
        </w:rPr>
        <w:t>bilateral-credit price asking contracts</w:t>
      </w:r>
      <w:r w:rsidR="00A35149" w:rsidRPr="00B07608">
        <w:rPr>
          <w:rFonts w:ascii="Times New Roman" w:eastAsia="宋体" w:hAnsi="Times New Roman" w:cs="Times New Roman"/>
          <w:sz w:val="22"/>
        </w:rPr>
        <w:t>.</w:t>
      </w:r>
      <w:r w:rsidRPr="00B07608">
        <w:rPr>
          <w:rFonts w:ascii="Times New Roman" w:eastAsia="宋体" w:hAnsi="Times New Roman" w:cs="Times New Roman"/>
          <w:sz w:val="22"/>
        </w:rPr>
        <w:t xml:space="preserve"> </w:t>
      </w:r>
      <w:r w:rsidR="00A35149" w:rsidRPr="00B07608">
        <w:rPr>
          <w:rFonts w:ascii="Times New Roman" w:eastAsia="宋体" w:hAnsi="Times New Roman" w:cs="Times New Roman"/>
          <w:sz w:val="22"/>
        </w:rPr>
        <w:t>B</w:t>
      </w:r>
      <w:r w:rsidRPr="00B07608">
        <w:rPr>
          <w:rFonts w:ascii="Times New Roman" w:eastAsia="宋体" w:hAnsi="Times New Roman" w:cs="Times New Roman"/>
          <w:sz w:val="22"/>
        </w:rPr>
        <w:t xml:space="preserve">ullion or payments obtained from delivery </w:t>
      </w:r>
      <w:r w:rsidR="007A1F5B" w:rsidRPr="00B07608">
        <w:rPr>
          <w:rFonts w:ascii="Times New Roman" w:eastAsia="宋体" w:hAnsi="Times New Roman" w:cs="Times New Roman"/>
          <w:sz w:val="22"/>
        </w:rPr>
        <w:t xml:space="preserve">against contracts earlier in the sequence </w:t>
      </w:r>
      <w:r w:rsidRPr="00B07608">
        <w:rPr>
          <w:rFonts w:ascii="Times New Roman" w:eastAsia="宋体" w:hAnsi="Times New Roman" w:cs="Times New Roman"/>
          <w:sz w:val="22"/>
        </w:rPr>
        <w:t xml:space="preserve">may be used for </w:t>
      </w:r>
      <w:r w:rsidR="007A1F5B" w:rsidRPr="00B07608">
        <w:rPr>
          <w:rFonts w:ascii="Times New Roman" w:eastAsia="宋体" w:hAnsi="Times New Roman" w:cs="Times New Roman"/>
          <w:sz w:val="22"/>
        </w:rPr>
        <w:t>delivery against contracts later in the sequence</w:t>
      </w:r>
      <w:r w:rsidRPr="00B07608">
        <w:rPr>
          <w:rFonts w:ascii="Times New Roman" w:eastAsia="宋体" w:hAnsi="Times New Roman" w:cs="Times New Roman"/>
          <w:sz w:val="22"/>
        </w:rPr>
        <w:t>.</w:t>
      </w:r>
    </w:p>
    <w:p w14:paraId="28960430" w14:textId="77777777" w:rsidR="00D6793E" w:rsidRPr="00B07608" w:rsidRDefault="00D6793E" w:rsidP="003A2017">
      <w:pPr>
        <w:pStyle w:val="2"/>
      </w:pPr>
      <w:r w:rsidRPr="00B07608">
        <w:t>Chapter VII</w:t>
      </w:r>
      <w:r w:rsidRPr="00B07608">
        <w:tab/>
        <w:t>Emergency Operations</w:t>
      </w:r>
    </w:p>
    <w:p w14:paraId="1E2B5CD0" w14:textId="67B7A20E"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39</w:t>
      </w:r>
      <w:r w:rsidRPr="00B07608">
        <w:rPr>
          <w:rFonts w:ascii="Times New Roman" w:eastAsia="宋体" w:hAnsi="Times New Roman" w:cs="Times New Roman"/>
          <w:sz w:val="22"/>
        </w:rPr>
        <w:tab/>
        <w:t>Emergency operations refer to the emergency services</w:t>
      </w:r>
      <w:r w:rsidR="00994022" w:rsidRPr="00B07608">
        <w:rPr>
          <w:rFonts w:ascii="Times New Roman" w:eastAsia="宋体" w:hAnsi="Times New Roman" w:cs="Times New Roman"/>
          <w:sz w:val="22"/>
        </w:rPr>
        <w:t>, such as emergency trade registration and emergency trade confirmation services,</w:t>
      </w:r>
      <w:r w:rsidRPr="00B07608">
        <w:rPr>
          <w:rFonts w:ascii="Times New Roman" w:eastAsia="宋体" w:hAnsi="Times New Roman" w:cs="Times New Roman"/>
          <w:sz w:val="22"/>
        </w:rPr>
        <w:t xml:space="preserve"> conditionally provided by the Exchange to a member who, due to a fault with its system or with the communication link between it and the Exchange, cannot process its transactions as normal while the Exchange’s system is running normally.</w:t>
      </w:r>
    </w:p>
    <w:p w14:paraId="009453F5" w14:textId="4D6C7F2A"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40</w:t>
      </w:r>
      <w:r w:rsidRPr="00B07608">
        <w:rPr>
          <w:rFonts w:ascii="Times New Roman" w:eastAsia="宋体" w:hAnsi="Times New Roman" w:cs="Times New Roman"/>
          <w:sz w:val="22"/>
        </w:rPr>
        <w:tab/>
        <w:t xml:space="preserve">Any member applying for emergency operations shall complete a corresponding application of a format designated by the Exchange and stamp its valid official seal </w:t>
      </w:r>
      <w:r w:rsidR="007A1F5B" w:rsidRPr="00B07608">
        <w:rPr>
          <w:rFonts w:ascii="Times New Roman" w:eastAsia="宋体" w:hAnsi="Times New Roman" w:cs="Times New Roman"/>
          <w:sz w:val="22"/>
        </w:rPr>
        <w:t>on</w:t>
      </w:r>
      <w:r w:rsidRPr="00B07608">
        <w:rPr>
          <w:rFonts w:ascii="Times New Roman" w:eastAsia="宋体" w:hAnsi="Times New Roman" w:cs="Times New Roman"/>
          <w:sz w:val="22"/>
        </w:rPr>
        <w:t xml:space="preserve"> the completed form. Domestic Members shall apply for such services directly with the Exchange</w:t>
      </w:r>
      <w:r w:rsidR="00D85190" w:rsidRPr="00B07608">
        <w:rPr>
          <w:rFonts w:ascii="Times New Roman" w:eastAsia="宋体" w:hAnsi="Times New Roman" w:cs="Times New Roman"/>
          <w:sz w:val="22"/>
        </w:rPr>
        <w:t>;</w:t>
      </w:r>
      <w:r w:rsidRPr="00B07608">
        <w:rPr>
          <w:rFonts w:ascii="Times New Roman" w:eastAsia="宋体" w:hAnsi="Times New Roman" w:cs="Times New Roman"/>
          <w:sz w:val="22"/>
        </w:rPr>
        <w:t xml:space="preserve"> International Members shall do so through SGEI. The Exchange will accept and review these applications in accordance with applicable rules and the objective circumstances of the day.</w:t>
      </w:r>
    </w:p>
    <w:p w14:paraId="5565A0EA" w14:textId="2F2675C6"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41</w:t>
      </w:r>
      <w:r w:rsidRPr="00B07608">
        <w:rPr>
          <w:rFonts w:ascii="Times New Roman" w:eastAsia="宋体" w:hAnsi="Times New Roman" w:cs="Times New Roman"/>
          <w:sz w:val="22"/>
        </w:rPr>
        <w:tab/>
        <w:t xml:space="preserve">Floor staff of the Exchange will perform the corresponding emergency operations according to the application submitted by the member. Any such emergency operation shall be deemed as an action taken by the member for which the member shall assume full </w:t>
      </w:r>
      <w:r w:rsidR="002C7993" w:rsidRPr="00B07608">
        <w:rPr>
          <w:rFonts w:ascii="Times New Roman" w:eastAsia="宋体" w:hAnsi="Times New Roman" w:cs="Times New Roman"/>
          <w:sz w:val="22"/>
        </w:rPr>
        <w:t xml:space="preserve">legal </w:t>
      </w:r>
      <w:r w:rsidRPr="00B07608">
        <w:rPr>
          <w:rFonts w:ascii="Times New Roman" w:eastAsia="宋体" w:hAnsi="Times New Roman" w:cs="Times New Roman"/>
          <w:sz w:val="22"/>
        </w:rPr>
        <w:t>liabilities.</w:t>
      </w:r>
    </w:p>
    <w:p w14:paraId="36DB12B7" w14:textId="1CA33292"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42</w:t>
      </w:r>
      <w:r w:rsidRPr="00B07608">
        <w:rPr>
          <w:rFonts w:ascii="Times New Roman" w:eastAsia="宋体" w:hAnsi="Times New Roman" w:cs="Times New Roman"/>
          <w:sz w:val="22"/>
        </w:rPr>
        <w:tab/>
        <w:t>The Exchange shall not be held liable for any emergency operation that cannot be accepted or completed as normal due to any reason.</w:t>
      </w:r>
    </w:p>
    <w:p w14:paraId="0D69D664" w14:textId="77777777" w:rsidR="00D6793E" w:rsidRPr="00B07608" w:rsidRDefault="00D6793E" w:rsidP="003A2017">
      <w:pPr>
        <w:pStyle w:val="2"/>
      </w:pPr>
      <w:r w:rsidRPr="00B07608">
        <w:t>Chapter VIII</w:t>
      </w:r>
      <w:r w:rsidRPr="00B07608">
        <w:tab/>
        <w:t>Information Management</w:t>
      </w:r>
    </w:p>
    <w:p w14:paraId="305280FD" w14:textId="534D1174"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43</w:t>
      </w:r>
      <w:r w:rsidRPr="00B07608">
        <w:rPr>
          <w:rFonts w:ascii="Times New Roman" w:eastAsia="宋体" w:hAnsi="Times New Roman" w:cs="Times New Roman"/>
          <w:sz w:val="22"/>
        </w:rPr>
        <w:tab/>
        <w:t xml:space="preserve">The Exchange is responsible for the daily collection of margin-based price asking market data and </w:t>
      </w:r>
      <w:r w:rsidR="002C7993" w:rsidRPr="00B07608">
        <w:rPr>
          <w:rFonts w:ascii="Times New Roman" w:eastAsia="宋体" w:hAnsi="Times New Roman" w:cs="Times New Roman"/>
          <w:sz w:val="22"/>
        </w:rPr>
        <w:t xml:space="preserve">related </w:t>
      </w:r>
      <w:r w:rsidRPr="00B07608">
        <w:rPr>
          <w:rFonts w:ascii="Times New Roman" w:eastAsia="宋体" w:hAnsi="Times New Roman" w:cs="Times New Roman"/>
          <w:sz w:val="22"/>
        </w:rPr>
        <w:t xml:space="preserve">information disclosure, and may release such data as quotations and trading information to the price asking market by itself or through an </w:t>
      </w:r>
      <w:r w:rsidRPr="00B07608">
        <w:rPr>
          <w:rFonts w:ascii="Times New Roman" w:eastAsia="宋体" w:hAnsi="Times New Roman" w:cs="Times New Roman"/>
          <w:sz w:val="22"/>
        </w:rPr>
        <w:lastRenderedPageBreak/>
        <w:t>authorized third-party information service provider.</w:t>
      </w:r>
    </w:p>
    <w:p w14:paraId="682B2866" w14:textId="5388CBF0"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44</w:t>
      </w:r>
      <w:r w:rsidRPr="00B07608">
        <w:rPr>
          <w:rFonts w:ascii="Times New Roman" w:eastAsia="宋体" w:hAnsi="Times New Roman" w:cs="Times New Roman"/>
          <w:sz w:val="22"/>
        </w:rPr>
        <w:tab/>
        <w:t>Based on market conditions, the Exchange may create pricing basis and release it to the market.</w:t>
      </w:r>
    </w:p>
    <w:p w14:paraId="5AB9BDA0" w14:textId="5D6AE1B3"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45</w:t>
      </w:r>
      <w:r w:rsidRPr="00B07608">
        <w:rPr>
          <w:rFonts w:ascii="Times New Roman" w:eastAsia="宋体" w:hAnsi="Times New Roman" w:cs="Times New Roman"/>
          <w:sz w:val="22"/>
        </w:rPr>
        <w:tab/>
        <w:t>The Exchange reserve</w:t>
      </w:r>
      <w:r w:rsidR="000F399A" w:rsidRPr="00B07608">
        <w:rPr>
          <w:rFonts w:ascii="Times New Roman" w:eastAsia="宋体" w:hAnsi="Times New Roman" w:cs="Times New Roman"/>
          <w:sz w:val="22"/>
        </w:rPr>
        <w:t>s</w:t>
      </w:r>
      <w:r w:rsidRPr="00B07608">
        <w:rPr>
          <w:rFonts w:ascii="Times New Roman" w:eastAsia="宋体" w:hAnsi="Times New Roman" w:cs="Times New Roman"/>
          <w:sz w:val="22"/>
        </w:rPr>
        <w:t xml:space="preserve"> the </w:t>
      </w:r>
      <w:r w:rsidR="005447DC" w:rsidRPr="00B07608">
        <w:rPr>
          <w:rFonts w:ascii="Times New Roman" w:eastAsia="宋体" w:hAnsi="Times New Roman" w:cs="Times New Roman"/>
          <w:sz w:val="22"/>
        </w:rPr>
        <w:t>intellectual</w:t>
      </w:r>
      <w:r w:rsidRPr="00B07608">
        <w:rPr>
          <w:rFonts w:ascii="Times New Roman" w:eastAsia="宋体" w:hAnsi="Times New Roman" w:cs="Times New Roman"/>
          <w:sz w:val="22"/>
        </w:rPr>
        <w:t xml:space="preserve"> property right </w:t>
      </w:r>
      <w:r w:rsidR="005447DC" w:rsidRPr="00B07608">
        <w:rPr>
          <w:rFonts w:ascii="Times New Roman" w:eastAsia="宋体" w:hAnsi="Times New Roman" w:cs="Times New Roman"/>
          <w:sz w:val="22"/>
        </w:rPr>
        <w:t xml:space="preserve">to </w:t>
      </w:r>
      <w:r w:rsidR="000F399A" w:rsidRPr="00B07608">
        <w:rPr>
          <w:rFonts w:ascii="Times New Roman" w:eastAsia="宋体" w:hAnsi="Times New Roman" w:cs="Times New Roman"/>
          <w:sz w:val="22"/>
        </w:rPr>
        <w:t xml:space="preserve">market data, pricing basis, and other information relating to </w:t>
      </w:r>
      <w:r w:rsidRPr="00B07608">
        <w:rPr>
          <w:rFonts w:ascii="Times New Roman" w:eastAsia="宋体" w:hAnsi="Times New Roman" w:cs="Times New Roman"/>
          <w:sz w:val="22"/>
        </w:rPr>
        <w:t xml:space="preserve">margin-based price asking </w:t>
      </w:r>
      <w:r w:rsidR="005447DC" w:rsidRPr="00B07608">
        <w:rPr>
          <w:rFonts w:ascii="Times New Roman" w:eastAsia="宋体" w:hAnsi="Times New Roman" w:cs="Times New Roman"/>
          <w:sz w:val="22"/>
        </w:rPr>
        <w:t>transactions</w:t>
      </w:r>
      <w:r w:rsidRPr="00B07608">
        <w:rPr>
          <w:rFonts w:ascii="Times New Roman" w:eastAsia="宋体" w:hAnsi="Times New Roman" w:cs="Times New Roman"/>
          <w:sz w:val="22"/>
        </w:rPr>
        <w:t>, which shall not be used for any commercial purposes by any organization or individual without permission of the Exchange.</w:t>
      </w:r>
    </w:p>
    <w:p w14:paraId="22AC8489" w14:textId="6C14F9D1"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46</w:t>
      </w:r>
      <w:r w:rsidRPr="00B07608">
        <w:rPr>
          <w:rFonts w:ascii="Times New Roman" w:eastAsia="宋体" w:hAnsi="Times New Roman" w:cs="Times New Roman"/>
          <w:sz w:val="22"/>
        </w:rPr>
        <w:tab/>
      </w:r>
      <w:r w:rsidR="000F399A" w:rsidRPr="00B07608">
        <w:rPr>
          <w:rFonts w:ascii="Times New Roman" w:eastAsia="宋体" w:hAnsi="Times New Roman" w:cs="Times New Roman"/>
          <w:sz w:val="22"/>
        </w:rPr>
        <w:t>E</w:t>
      </w:r>
      <w:r w:rsidRPr="00B07608">
        <w:rPr>
          <w:rFonts w:ascii="Times New Roman" w:eastAsia="宋体" w:hAnsi="Times New Roman" w:cs="Times New Roman"/>
          <w:sz w:val="22"/>
        </w:rPr>
        <w:t>ach member may</w:t>
      </w:r>
      <w:r w:rsidR="000F399A" w:rsidRPr="00B07608">
        <w:rPr>
          <w:rFonts w:ascii="Times New Roman" w:eastAsia="宋体" w:hAnsi="Times New Roman" w:cs="Times New Roman"/>
          <w:sz w:val="22"/>
        </w:rPr>
        <w:t>, through the system designated by the Exchange,</w:t>
      </w:r>
      <w:r w:rsidRPr="00B07608">
        <w:rPr>
          <w:rFonts w:ascii="Times New Roman" w:eastAsia="宋体" w:hAnsi="Times New Roman" w:cs="Times New Roman"/>
          <w:sz w:val="22"/>
        </w:rPr>
        <w:t xml:space="preserve"> obtain information about margin-based price asking transactions entered into for its own account or on behalf of its customers.</w:t>
      </w:r>
    </w:p>
    <w:p w14:paraId="4F653457" w14:textId="2FE39B5A"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47</w:t>
      </w:r>
      <w:r w:rsidRPr="00B07608">
        <w:rPr>
          <w:rFonts w:ascii="Times New Roman" w:eastAsia="宋体" w:hAnsi="Times New Roman" w:cs="Times New Roman"/>
          <w:sz w:val="22"/>
        </w:rPr>
        <w:tab/>
        <w:t>Without the prior written consent of the two trading parties concerned, no market participant is permitted to divulge any trading information or other non-public information obtained through its participation of a margin-based price asking transaction on or through the Exchange, unless such divulgation is required by laws, regulations, or competent authorities.</w:t>
      </w:r>
    </w:p>
    <w:p w14:paraId="7895CCC3" w14:textId="00181FF4" w:rsidR="00D6793E" w:rsidRPr="00B07608" w:rsidRDefault="00D6793E" w:rsidP="003A2017">
      <w:pPr>
        <w:pStyle w:val="2"/>
      </w:pPr>
      <w:r w:rsidRPr="00B07608">
        <w:t>Chapter IX</w:t>
      </w:r>
      <w:r w:rsidRPr="00B07608">
        <w:tab/>
        <w:t xml:space="preserve">Supervision and </w:t>
      </w:r>
      <w:r w:rsidR="003A2017" w:rsidRPr="00B07608">
        <w:t>Administration</w:t>
      </w:r>
    </w:p>
    <w:p w14:paraId="25DD48E8" w14:textId="6EF41646"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48</w:t>
      </w:r>
      <w:r w:rsidRPr="00B07608">
        <w:rPr>
          <w:rFonts w:ascii="Times New Roman" w:eastAsia="宋体" w:hAnsi="Times New Roman" w:cs="Times New Roman"/>
          <w:sz w:val="22"/>
        </w:rPr>
        <w:tab/>
        <w:t xml:space="preserve">The Exchange is responsible for the daily monitoring of margin-based price asking transactions and for reporting information relating to </w:t>
      </w:r>
      <w:r w:rsidR="000C4A58" w:rsidRPr="00B07608">
        <w:rPr>
          <w:rFonts w:ascii="Times New Roman" w:eastAsia="宋体" w:hAnsi="Times New Roman" w:cs="Times New Roman"/>
          <w:sz w:val="22"/>
        </w:rPr>
        <w:t>those</w:t>
      </w:r>
      <w:r w:rsidRPr="00B07608">
        <w:rPr>
          <w:rFonts w:ascii="Times New Roman" w:eastAsia="宋体" w:hAnsi="Times New Roman" w:cs="Times New Roman"/>
          <w:sz w:val="22"/>
        </w:rPr>
        <w:t xml:space="preserve"> transactions to the PBC.</w:t>
      </w:r>
    </w:p>
    <w:p w14:paraId="3542ADB2" w14:textId="77777777"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49</w:t>
      </w:r>
      <w:r w:rsidRPr="00B07608">
        <w:rPr>
          <w:rFonts w:ascii="Times New Roman" w:eastAsia="宋体" w:hAnsi="Times New Roman" w:cs="Times New Roman"/>
          <w:sz w:val="22"/>
        </w:rPr>
        <w:tab/>
        <w:t xml:space="preserve">Members and customers shall observe the laws, regulations, and ministry-level rules of China and the </w:t>
      </w:r>
      <w:r w:rsidRPr="00B07608">
        <w:rPr>
          <w:rFonts w:ascii="Times New Roman" w:eastAsia="宋体" w:hAnsi="Times New Roman" w:cs="Times New Roman"/>
          <w:i/>
          <w:iCs/>
          <w:sz w:val="22"/>
        </w:rPr>
        <w:t>Articles of Association</w:t>
      </w:r>
      <w:r w:rsidRPr="00B07608">
        <w:rPr>
          <w:rFonts w:ascii="Times New Roman" w:eastAsia="宋体" w:hAnsi="Times New Roman" w:cs="Times New Roman"/>
          <w:sz w:val="22"/>
        </w:rPr>
        <w:t>, market rules and measures of the Exchange, and shall accept the administration and supervision of the PBC and the Exchange. Members and customers are prohibited from engaging in any activity that disrupts market order, such as tunneling, market manipulation, and bad faith default, by way of their margin-based price asking transactions.</w:t>
      </w:r>
    </w:p>
    <w:p w14:paraId="5A0E4F18" w14:textId="3A78D35B"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50</w:t>
      </w:r>
      <w:r w:rsidRPr="00B07608">
        <w:rPr>
          <w:rFonts w:ascii="Times New Roman" w:eastAsia="宋体" w:hAnsi="Times New Roman" w:cs="Times New Roman"/>
          <w:sz w:val="22"/>
        </w:rPr>
        <w:tab/>
        <w:t>The Exchange has the power to impose the following penalties on members who are involved in irregular activities or misconducts during margin-based price asking transactions: requiring an explanation; ordering rectification of the situation within a specified time limit; circulating a notice of reprimand; suspending privileges to engage in margin-based price asking trades; and, if the circumstances are grievous, revoking such privileges.</w:t>
      </w:r>
    </w:p>
    <w:p w14:paraId="71FD25DB" w14:textId="0378559B"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51</w:t>
      </w:r>
      <w:r w:rsidRPr="00B07608">
        <w:rPr>
          <w:rFonts w:ascii="Times New Roman" w:eastAsia="宋体" w:hAnsi="Times New Roman" w:cs="Times New Roman"/>
          <w:sz w:val="22"/>
        </w:rPr>
        <w:tab/>
        <w:t xml:space="preserve">Each member shall be obligated to oversee the margin-based price asking transactions of its customers and to inform them of the relevant laws, regulations, and ministry-level rules of China and the </w:t>
      </w:r>
      <w:r w:rsidRPr="00B07608">
        <w:rPr>
          <w:rFonts w:ascii="Times New Roman" w:eastAsia="宋体" w:hAnsi="Times New Roman" w:cs="Times New Roman"/>
          <w:i/>
          <w:iCs/>
          <w:sz w:val="22"/>
        </w:rPr>
        <w:t>Articles of Association</w:t>
      </w:r>
      <w:r w:rsidRPr="00B07608">
        <w:rPr>
          <w:rFonts w:ascii="Times New Roman" w:eastAsia="宋体" w:hAnsi="Times New Roman" w:cs="Times New Roman"/>
          <w:sz w:val="22"/>
        </w:rPr>
        <w:t>, market rules and measures of the Exchange.</w:t>
      </w:r>
    </w:p>
    <w:p w14:paraId="17A2301B" w14:textId="11F1C752"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52</w:t>
      </w:r>
      <w:r w:rsidRPr="00B07608">
        <w:rPr>
          <w:rFonts w:ascii="Times New Roman" w:eastAsia="宋体" w:hAnsi="Times New Roman" w:cs="Times New Roman"/>
          <w:sz w:val="22"/>
        </w:rPr>
        <w:tab/>
        <w:t>Members shall actively cooperate with the Exchange during its investigation into any irregularities or violations in margin-based price asking transactions and shall rectify any form of noncompliance in a timely manner.</w:t>
      </w:r>
    </w:p>
    <w:p w14:paraId="0B8AAFF3" w14:textId="77777777" w:rsidR="00D6793E" w:rsidRPr="00B07608" w:rsidRDefault="00D6793E" w:rsidP="001905C4">
      <w:pPr>
        <w:tabs>
          <w:tab w:val="left" w:pos="1418"/>
        </w:tabs>
        <w:snapToGrid w:val="0"/>
        <w:spacing w:afterLines="100" w:after="312" w:line="276" w:lineRule="auto"/>
        <w:jc w:val="center"/>
        <w:rPr>
          <w:rFonts w:ascii="Times New Roman" w:eastAsia="宋体" w:hAnsi="Times New Roman" w:cs="Times New Roman"/>
          <w:b/>
          <w:bCs/>
          <w:sz w:val="22"/>
        </w:rPr>
      </w:pPr>
      <w:r w:rsidRPr="00B07608">
        <w:rPr>
          <w:rFonts w:ascii="Times New Roman" w:eastAsia="宋体" w:hAnsi="Times New Roman" w:cs="Times New Roman"/>
          <w:b/>
          <w:bCs/>
          <w:sz w:val="22"/>
        </w:rPr>
        <w:lastRenderedPageBreak/>
        <w:t>Chapter X</w:t>
      </w:r>
      <w:r w:rsidRPr="00B07608">
        <w:rPr>
          <w:rFonts w:ascii="Times New Roman" w:eastAsia="宋体" w:hAnsi="Times New Roman" w:cs="Times New Roman"/>
          <w:b/>
          <w:bCs/>
          <w:sz w:val="22"/>
        </w:rPr>
        <w:tab/>
        <w:t>Ancillary Provisions</w:t>
      </w:r>
    </w:p>
    <w:p w14:paraId="628CB2B3" w14:textId="28B9C163"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53</w:t>
      </w:r>
      <w:r w:rsidRPr="00B07608">
        <w:rPr>
          <w:rFonts w:ascii="Times New Roman" w:eastAsia="宋体" w:hAnsi="Times New Roman" w:cs="Times New Roman"/>
          <w:sz w:val="22"/>
        </w:rPr>
        <w:tab/>
        <w:t>Definition of terms, general guidelines, and basic procedures, specifications and other elements of margin-based price asking transaction</w:t>
      </w:r>
      <w:r w:rsidR="00206D6D" w:rsidRPr="00B07608">
        <w:rPr>
          <w:rFonts w:ascii="Times New Roman" w:eastAsia="宋体" w:hAnsi="Times New Roman" w:cs="Times New Roman"/>
          <w:sz w:val="22"/>
        </w:rPr>
        <w:t>s</w:t>
      </w:r>
      <w:r w:rsidRPr="00B07608">
        <w:rPr>
          <w:rFonts w:ascii="Times New Roman" w:eastAsia="宋体" w:hAnsi="Times New Roman" w:cs="Times New Roman"/>
          <w:sz w:val="22"/>
        </w:rPr>
        <w:t xml:space="preserve"> shall be governed by this </w:t>
      </w:r>
      <w:r w:rsidRPr="00B07608">
        <w:rPr>
          <w:rFonts w:ascii="Times New Roman" w:eastAsia="宋体" w:hAnsi="Times New Roman" w:cs="Times New Roman"/>
          <w:i/>
          <w:iCs/>
          <w:sz w:val="22"/>
        </w:rPr>
        <w:t>Detailed Rules</w:t>
      </w:r>
      <w:r w:rsidRPr="00B07608">
        <w:rPr>
          <w:rFonts w:ascii="Times New Roman" w:eastAsia="宋体" w:hAnsi="Times New Roman" w:cs="Times New Roman"/>
          <w:sz w:val="22"/>
        </w:rPr>
        <w:t xml:space="preserve">, the </w:t>
      </w:r>
      <w:r w:rsidRPr="00B07608">
        <w:rPr>
          <w:rFonts w:ascii="Times New Roman" w:eastAsia="宋体" w:hAnsi="Times New Roman" w:cs="Times New Roman"/>
          <w:i/>
          <w:iCs/>
          <w:sz w:val="22"/>
        </w:rPr>
        <w:t>Supplementary Provisions</w:t>
      </w:r>
      <w:r w:rsidRPr="00B07608">
        <w:rPr>
          <w:rFonts w:ascii="Times New Roman" w:eastAsia="宋体" w:hAnsi="Times New Roman" w:cs="Times New Roman"/>
          <w:sz w:val="22"/>
        </w:rPr>
        <w:t xml:space="preserve"> for margin-based price asking contract</w:t>
      </w:r>
      <w:r w:rsidR="00206D6D" w:rsidRPr="00B07608">
        <w:rPr>
          <w:rFonts w:ascii="Times New Roman" w:eastAsia="宋体" w:hAnsi="Times New Roman" w:cs="Times New Roman"/>
          <w:sz w:val="22"/>
        </w:rPr>
        <w:t>s</w:t>
      </w:r>
      <w:r w:rsidRPr="00B07608">
        <w:rPr>
          <w:rFonts w:ascii="Times New Roman" w:eastAsia="宋体" w:hAnsi="Times New Roman" w:cs="Times New Roman"/>
          <w:sz w:val="22"/>
        </w:rPr>
        <w:t xml:space="preserve"> formulated hereunder, and the specific rules adopted by each price asking platform designated by the Exchange.</w:t>
      </w:r>
    </w:p>
    <w:p w14:paraId="4AB06A6C" w14:textId="29A42DE0"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54</w:t>
      </w:r>
      <w:r w:rsidRPr="00B07608">
        <w:rPr>
          <w:rFonts w:ascii="Times New Roman" w:eastAsia="宋体" w:hAnsi="Times New Roman" w:cs="Times New Roman"/>
          <w:sz w:val="22"/>
        </w:rPr>
        <w:tab/>
        <w:t>Matters not covered by this</w:t>
      </w:r>
      <w:r w:rsidRPr="00B07608">
        <w:rPr>
          <w:rFonts w:ascii="Times New Roman" w:eastAsia="宋体" w:hAnsi="Times New Roman" w:cs="Times New Roman"/>
          <w:i/>
          <w:iCs/>
          <w:sz w:val="22"/>
        </w:rPr>
        <w:t xml:space="preserve"> Detailed Rules</w:t>
      </w:r>
      <w:r w:rsidRPr="00B07608">
        <w:rPr>
          <w:rFonts w:ascii="Times New Roman" w:eastAsia="宋体" w:hAnsi="Times New Roman" w:cs="Times New Roman"/>
          <w:sz w:val="22"/>
        </w:rPr>
        <w:t xml:space="preserve"> and the </w:t>
      </w:r>
      <w:r w:rsidRPr="00B07608">
        <w:rPr>
          <w:rFonts w:ascii="Times New Roman" w:eastAsia="宋体" w:hAnsi="Times New Roman" w:cs="Times New Roman"/>
          <w:i/>
          <w:iCs/>
          <w:sz w:val="22"/>
        </w:rPr>
        <w:t>Supplementary Provisions</w:t>
      </w:r>
      <w:r w:rsidRPr="00B07608">
        <w:rPr>
          <w:rFonts w:ascii="Times New Roman" w:eastAsia="宋体" w:hAnsi="Times New Roman" w:cs="Times New Roman"/>
          <w:sz w:val="22"/>
        </w:rPr>
        <w:t xml:space="preserve"> for margin-based price asking contract</w:t>
      </w:r>
      <w:r w:rsidR="00206D6D" w:rsidRPr="00B07608">
        <w:rPr>
          <w:rFonts w:ascii="Times New Roman" w:eastAsia="宋体" w:hAnsi="Times New Roman" w:cs="Times New Roman"/>
          <w:sz w:val="22"/>
        </w:rPr>
        <w:t>s</w:t>
      </w:r>
      <w:r w:rsidRPr="00B07608">
        <w:rPr>
          <w:rFonts w:ascii="Times New Roman" w:eastAsia="宋体" w:hAnsi="Times New Roman" w:cs="Times New Roman"/>
          <w:sz w:val="22"/>
        </w:rPr>
        <w:t xml:space="preserve"> formulated hereunder shall be governed by the relevant regulations and specific rules of the Exchange.</w:t>
      </w:r>
    </w:p>
    <w:p w14:paraId="6CEF9290" w14:textId="573F574F"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55</w:t>
      </w:r>
      <w:r w:rsidRPr="00B07608">
        <w:rPr>
          <w:rFonts w:ascii="Times New Roman" w:eastAsia="宋体" w:hAnsi="Times New Roman" w:cs="Times New Roman"/>
          <w:sz w:val="22"/>
        </w:rPr>
        <w:tab/>
        <w:t xml:space="preserve">This </w:t>
      </w:r>
      <w:r w:rsidRPr="00B07608">
        <w:rPr>
          <w:rFonts w:ascii="Times New Roman" w:eastAsia="宋体" w:hAnsi="Times New Roman" w:cs="Times New Roman"/>
          <w:i/>
          <w:iCs/>
          <w:sz w:val="22"/>
        </w:rPr>
        <w:t xml:space="preserve">Detailed Rules </w:t>
      </w:r>
      <w:r w:rsidRPr="00B07608">
        <w:rPr>
          <w:rFonts w:ascii="Times New Roman" w:eastAsia="宋体" w:hAnsi="Times New Roman" w:cs="Times New Roman"/>
          <w:sz w:val="22"/>
        </w:rPr>
        <w:t xml:space="preserve">and the </w:t>
      </w:r>
      <w:r w:rsidRPr="00B07608">
        <w:rPr>
          <w:rFonts w:ascii="Times New Roman" w:eastAsia="宋体" w:hAnsi="Times New Roman" w:cs="Times New Roman"/>
          <w:i/>
          <w:iCs/>
          <w:sz w:val="22"/>
        </w:rPr>
        <w:t>Supplementary Provisions</w:t>
      </w:r>
      <w:r w:rsidRPr="00B07608">
        <w:rPr>
          <w:rFonts w:ascii="Times New Roman" w:eastAsia="宋体" w:hAnsi="Times New Roman" w:cs="Times New Roman"/>
          <w:sz w:val="22"/>
        </w:rPr>
        <w:t xml:space="preserve"> for margin-based price asking contract</w:t>
      </w:r>
      <w:r w:rsidR="00206D6D" w:rsidRPr="00B07608">
        <w:rPr>
          <w:rFonts w:ascii="Times New Roman" w:eastAsia="宋体" w:hAnsi="Times New Roman" w:cs="Times New Roman"/>
          <w:sz w:val="22"/>
        </w:rPr>
        <w:t>s</w:t>
      </w:r>
      <w:r w:rsidRPr="00B07608">
        <w:rPr>
          <w:rFonts w:ascii="Times New Roman" w:eastAsia="宋体" w:hAnsi="Times New Roman" w:cs="Times New Roman"/>
          <w:sz w:val="22"/>
        </w:rPr>
        <w:t xml:space="preserve"> formulated hereunder are written in Chinese. In case of any inconsistency between their different language versions or different editions, the latest Chinese version shall prevail.</w:t>
      </w:r>
    </w:p>
    <w:p w14:paraId="3DD69CA4" w14:textId="4C0169DA" w:rsidR="00D6793E" w:rsidRPr="00B07608"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56</w:t>
      </w:r>
      <w:r w:rsidRPr="00B07608">
        <w:rPr>
          <w:rFonts w:ascii="Times New Roman" w:eastAsia="宋体" w:hAnsi="Times New Roman" w:cs="Times New Roman"/>
          <w:sz w:val="22"/>
        </w:rPr>
        <w:tab/>
        <w:t xml:space="preserve">The Exchange shall reserve the right to interpret this </w:t>
      </w:r>
      <w:r w:rsidRPr="00B07608">
        <w:rPr>
          <w:rFonts w:ascii="Times New Roman" w:eastAsia="宋体" w:hAnsi="Times New Roman" w:cs="Times New Roman"/>
          <w:i/>
          <w:iCs/>
          <w:sz w:val="22"/>
        </w:rPr>
        <w:t>Detailed Rules</w:t>
      </w:r>
      <w:r w:rsidRPr="00B07608">
        <w:rPr>
          <w:rFonts w:ascii="Times New Roman" w:eastAsia="宋体" w:hAnsi="Times New Roman" w:cs="Times New Roman"/>
          <w:sz w:val="22"/>
        </w:rPr>
        <w:t xml:space="preserve"> and the </w:t>
      </w:r>
      <w:r w:rsidRPr="00B07608">
        <w:rPr>
          <w:rFonts w:ascii="Times New Roman" w:eastAsia="宋体" w:hAnsi="Times New Roman" w:cs="Times New Roman"/>
          <w:i/>
          <w:iCs/>
          <w:sz w:val="22"/>
        </w:rPr>
        <w:t xml:space="preserve">Supplementary Provisions </w:t>
      </w:r>
      <w:r w:rsidRPr="00B07608">
        <w:rPr>
          <w:rFonts w:ascii="Times New Roman" w:eastAsia="宋体" w:hAnsi="Times New Roman" w:cs="Times New Roman"/>
          <w:sz w:val="22"/>
        </w:rPr>
        <w:t>for margin-based price asking contract</w:t>
      </w:r>
      <w:r w:rsidR="00206D6D" w:rsidRPr="00B07608">
        <w:rPr>
          <w:rFonts w:ascii="Times New Roman" w:eastAsia="宋体" w:hAnsi="Times New Roman" w:cs="Times New Roman"/>
          <w:sz w:val="22"/>
        </w:rPr>
        <w:t>s</w:t>
      </w:r>
      <w:r w:rsidRPr="00B07608">
        <w:rPr>
          <w:rFonts w:ascii="Times New Roman" w:eastAsia="宋体" w:hAnsi="Times New Roman" w:cs="Times New Roman"/>
          <w:sz w:val="22"/>
        </w:rPr>
        <w:t xml:space="preserve"> formulated hereunder.</w:t>
      </w:r>
    </w:p>
    <w:p w14:paraId="61CBE260" w14:textId="1D1CA1FA" w:rsidR="00115F36" w:rsidRPr="00115F36" w:rsidRDefault="00D6793E" w:rsidP="00D6793E">
      <w:pPr>
        <w:tabs>
          <w:tab w:val="left" w:pos="1276"/>
        </w:tabs>
        <w:snapToGrid w:val="0"/>
        <w:spacing w:afterLines="100" w:after="312" w:line="276" w:lineRule="auto"/>
        <w:jc w:val="left"/>
        <w:rPr>
          <w:rFonts w:ascii="Times New Roman" w:eastAsia="宋体" w:hAnsi="Times New Roman" w:cs="Times New Roman"/>
          <w:sz w:val="22"/>
        </w:rPr>
      </w:pPr>
      <w:r w:rsidRPr="00B07608">
        <w:rPr>
          <w:rFonts w:ascii="Times New Roman" w:eastAsia="宋体" w:hAnsi="Times New Roman" w:cs="Times New Roman"/>
          <w:b/>
          <w:bCs/>
          <w:sz w:val="22"/>
        </w:rPr>
        <w:t>Article 57</w:t>
      </w:r>
      <w:r w:rsidRPr="00B07608">
        <w:rPr>
          <w:rFonts w:ascii="Times New Roman" w:eastAsia="宋体" w:hAnsi="Times New Roman" w:cs="Times New Roman"/>
          <w:sz w:val="22"/>
        </w:rPr>
        <w:tab/>
        <w:t>This</w:t>
      </w:r>
      <w:r w:rsidRPr="00B07608">
        <w:rPr>
          <w:rFonts w:ascii="Times New Roman" w:eastAsia="宋体" w:hAnsi="Times New Roman" w:cs="Times New Roman"/>
          <w:i/>
          <w:iCs/>
          <w:sz w:val="22"/>
        </w:rPr>
        <w:t xml:space="preserve"> Detailed Rules </w:t>
      </w:r>
      <w:r w:rsidRPr="00B07608">
        <w:rPr>
          <w:rFonts w:ascii="Times New Roman" w:eastAsia="宋体" w:hAnsi="Times New Roman" w:cs="Times New Roman"/>
          <w:sz w:val="22"/>
        </w:rPr>
        <w:t xml:space="preserve">and the </w:t>
      </w:r>
      <w:r w:rsidRPr="00B07608">
        <w:rPr>
          <w:rFonts w:ascii="Times New Roman" w:eastAsia="宋体" w:hAnsi="Times New Roman" w:cs="Times New Roman"/>
          <w:i/>
          <w:iCs/>
          <w:sz w:val="22"/>
        </w:rPr>
        <w:t>Supplementary Provisions</w:t>
      </w:r>
      <w:r w:rsidRPr="00B07608">
        <w:rPr>
          <w:rFonts w:ascii="Times New Roman" w:eastAsia="宋体" w:hAnsi="Times New Roman" w:cs="Times New Roman"/>
          <w:sz w:val="22"/>
        </w:rPr>
        <w:t xml:space="preserve"> for margin-based price asking contract</w:t>
      </w:r>
      <w:r w:rsidR="00206D6D" w:rsidRPr="00B07608">
        <w:rPr>
          <w:rFonts w:ascii="Times New Roman" w:eastAsia="宋体" w:hAnsi="Times New Roman" w:cs="Times New Roman"/>
          <w:sz w:val="22"/>
        </w:rPr>
        <w:t>s</w:t>
      </w:r>
      <w:r w:rsidRPr="00B07608">
        <w:rPr>
          <w:rFonts w:ascii="Times New Roman" w:eastAsia="宋体" w:hAnsi="Times New Roman" w:cs="Times New Roman"/>
          <w:sz w:val="22"/>
        </w:rPr>
        <w:t xml:space="preserve"> formulated hereunder shall take effect as of the date of their release.</w:t>
      </w:r>
    </w:p>
    <w:sectPr w:rsidR="00115F36" w:rsidRPr="00115F3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E98E6" w14:textId="77777777" w:rsidR="00CD49FE" w:rsidRDefault="00CD49FE" w:rsidP="00C36E0D">
      <w:r>
        <w:separator/>
      </w:r>
    </w:p>
  </w:endnote>
  <w:endnote w:type="continuationSeparator" w:id="0">
    <w:p w14:paraId="60889116" w14:textId="77777777" w:rsidR="00CD49FE" w:rsidRDefault="00CD49FE" w:rsidP="00C3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432259"/>
      <w:docPartObj>
        <w:docPartGallery w:val="Page Numbers (Bottom of Page)"/>
        <w:docPartUnique/>
      </w:docPartObj>
    </w:sdtPr>
    <w:sdtEndPr>
      <w:rPr>
        <w:rFonts w:ascii="Times New Roman" w:hAnsi="Times New Roman" w:cs="Times New Roman"/>
        <w:sz w:val="20"/>
        <w:szCs w:val="20"/>
      </w:rPr>
    </w:sdtEndPr>
    <w:sdtContent>
      <w:p w14:paraId="631EE212" w14:textId="7D3FA160" w:rsidR="00C36E0D" w:rsidRPr="00C36E0D" w:rsidRDefault="00C36E0D" w:rsidP="00C36E0D">
        <w:pPr>
          <w:pStyle w:val="ad"/>
          <w:jc w:val="center"/>
          <w:rPr>
            <w:rFonts w:ascii="Times New Roman" w:hAnsi="Times New Roman" w:cs="Times New Roman"/>
            <w:sz w:val="20"/>
            <w:szCs w:val="20"/>
          </w:rPr>
        </w:pPr>
        <w:r w:rsidRPr="00C36E0D">
          <w:rPr>
            <w:rFonts w:ascii="Times New Roman" w:hAnsi="Times New Roman" w:cs="Times New Roman"/>
            <w:sz w:val="20"/>
            <w:szCs w:val="20"/>
          </w:rPr>
          <w:fldChar w:fldCharType="begin"/>
        </w:r>
        <w:r w:rsidRPr="00C36E0D">
          <w:rPr>
            <w:rFonts w:ascii="Times New Roman" w:hAnsi="Times New Roman" w:cs="Times New Roman"/>
            <w:sz w:val="20"/>
            <w:szCs w:val="20"/>
          </w:rPr>
          <w:instrText>PAGE   \* MERGEFORMAT</w:instrText>
        </w:r>
        <w:r w:rsidRPr="00C36E0D">
          <w:rPr>
            <w:rFonts w:ascii="Times New Roman" w:hAnsi="Times New Roman" w:cs="Times New Roman"/>
            <w:sz w:val="20"/>
            <w:szCs w:val="20"/>
          </w:rPr>
          <w:fldChar w:fldCharType="separate"/>
        </w:r>
        <w:r w:rsidR="00575741" w:rsidRPr="00575741">
          <w:rPr>
            <w:rFonts w:ascii="Times New Roman" w:hAnsi="Times New Roman" w:cs="Times New Roman"/>
            <w:noProof/>
            <w:sz w:val="20"/>
            <w:szCs w:val="20"/>
            <w:lang w:val="zh-CN"/>
          </w:rPr>
          <w:t>4</w:t>
        </w:r>
        <w:r w:rsidRPr="00C36E0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737A1" w14:textId="77777777" w:rsidR="00CD49FE" w:rsidRDefault="00CD49FE" w:rsidP="00C36E0D">
      <w:r>
        <w:separator/>
      </w:r>
    </w:p>
  </w:footnote>
  <w:footnote w:type="continuationSeparator" w:id="0">
    <w:p w14:paraId="7C3B1EA3" w14:textId="77777777" w:rsidR="00CD49FE" w:rsidRDefault="00CD49FE" w:rsidP="00C36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MDE2NjSxNDawMDJR0lEKTi0uzszPAykwrAUAg4jJICwAAAA="/>
  </w:docVars>
  <w:rsids>
    <w:rsidRoot w:val="00FF08EC"/>
    <w:rsid w:val="00011290"/>
    <w:rsid w:val="000A016D"/>
    <w:rsid w:val="000C4A58"/>
    <w:rsid w:val="000D7ADE"/>
    <w:rsid w:val="000E1665"/>
    <w:rsid w:val="000F399A"/>
    <w:rsid w:val="00115F36"/>
    <w:rsid w:val="001476D7"/>
    <w:rsid w:val="0015432D"/>
    <w:rsid w:val="001905C4"/>
    <w:rsid w:val="001B6FA7"/>
    <w:rsid w:val="00206D6D"/>
    <w:rsid w:val="0021382F"/>
    <w:rsid w:val="00270A12"/>
    <w:rsid w:val="0027199A"/>
    <w:rsid w:val="002944F1"/>
    <w:rsid w:val="002A3550"/>
    <w:rsid w:val="002C7993"/>
    <w:rsid w:val="002F1E90"/>
    <w:rsid w:val="00301B5F"/>
    <w:rsid w:val="00325809"/>
    <w:rsid w:val="00380F3B"/>
    <w:rsid w:val="003A122F"/>
    <w:rsid w:val="003A2017"/>
    <w:rsid w:val="003B649D"/>
    <w:rsid w:val="0040473A"/>
    <w:rsid w:val="00404F2C"/>
    <w:rsid w:val="004263AA"/>
    <w:rsid w:val="00430CD7"/>
    <w:rsid w:val="0045792D"/>
    <w:rsid w:val="004734A7"/>
    <w:rsid w:val="004738ED"/>
    <w:rsid w:val="00482569"/>
    <w:rsid w:val="004F0907"/>
    <w:rsid w:val="0053770F"/>
    <w:rsid w:val="005447DC"/>
    <w:rsid w:val="0055155E"/>
    <w:rsid w:val="00575741"/>
    <w:rsid w:val="005A165A"/>
    <w:rsid w:val="005E6F15"/>
    <w:rsid w:val="00605B6F"/>
    <w:rsid w:val="00607C7F"/>
    <w:rsid w:val="0061297C"/>
    <w:rsid w:val="00631BD4"/>
    <w:rsid w:val="0063290A"/>
    <w:rsid w:val="006646C2"/>
    <w:rsid w:val="00675953"/>
    <w:rsid w:val="006C53FD"/>
    <w:rsid w:val="006C7795"/>
    <w:rsid w:val="007A1F5B"/>
    <w:rsid w:val="007D7020"/>
    <w:rsid w:val="007F41A3"/>
    <w:rsid w:val="0082127A"/>
    <w:rsid w:val="0084425A"/>
    <w:rsid w:val="00860DCF"/>
    <w:rsid w:val="00882172"/>
    <w:rsid w:val="008C7FEC"/>
    <w:rsid w:val="008D0106"/>
    <w:rsid w:val="009123DA"/>
    <w:rsid w:val="009374FA"/>
    <w:rsid w:val="00941A91"/>
    <w:rsid w:val="00994022"/>
    <w:rsid w:val="009A20C2"/>
    <w:rsid w:val="009B5483"/>
    <w:rsid w:val="009D4D83"/>
    <w:rsid w:val="009E1CB3"/>
    <w:rsid w:val="00A35149"/>
    <w:rsid w:val="00A56F0B"/>
    <w:rsid w:val="00A67551"/>
    <w:rsid w:val="00AB47F4"/>
    <w:rsid w:val="00AD182C"/>
    <w:rsid w:val="00AD71F7"/>
    <w:rsid w:val="00AE1093"/>
    <w:rsid w:val="00AE7356"/>
    <w:rsid w:val="00B07608"/>
    <w:rsid w:val="00B07A27"/>
    <w:rsid w:val="00B2587D"/>
    <w:rsid w:val="00B86A6B"/>
    <w:rsid w:val="00BB1126"/>
    <w:rsid w:val="00BC6D0C"/>
    <w:rsid w:val="00BD2330"/>
    <w:rsid w:val="00BD5CE6"/>
    <w:rsid w:val="00BE44BF"/>
    <w:rsid w:val="00BE4761"/>
    <w:rsid w:val="00C23306"/>
    <w:rsid w:val="00C36E0D"/>
    <w:rsid w:val="00C431D9"/>
    <w:rsid w:val="00C55B0C"/>
    <w:rsid w:val="00CA3961"/>
    <w:rsid w:val="00CA57EF"/>
    <w:rsid w:val="00CB328A"/>
    <w:rsid w:val="00CC1DF3"/>
    <w:rsid w:val="00CD49FE"/>
    <w:rsid w:val="00D11ABB"/>
    <w:rsid w:val="00D26F26"/>
    <w:rsid w:val="00D66399"/>
    <w:rsid w:val="00D6793E"/>
    <w:rsid w:val="00D85190"/>
    <w:rsid w:val="00D9455C"/>
    <w:rsid w:val="00DC375C"/>
    <w:rsid w:val="00DF087B"/>
    <w:rsid w:val="00E040BD"/>
    <w:rsid w:val="00E22B41"/>
    <w:rsid w:val="00E27F40"/>
    <w:rsid w:val="00EC7879"/>
    <w:rsid w:val="00ED28AC"/>
    <w:rsid w:val="00ED408C"/>
    <w:rsid w:val="00EE0200"/>
    <w:rsid w:val="00EE532A"/>
    <w:rsid w:val="00F76AE2"/>
    <w:rsid w:val="00FD0097"/>
    <w:rsid w:val="00FD0524"/>
    <w:rsid w:val="00FF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9BA1"/>
  <w15:docId w15:val="{4E7E7094-37BE-4F82-BA19-FB03F1B5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1"/>
    <w:qFormat/>
    <w:rsid w:val="003A2017"/>
    <w:pPr>
      <w:snapToGrid w:val="0"/>
      <w:spacing w:afterLines="100" w:after="312" w:line="276" w:lineRule="auto"/>
      <w:jc w:val="center"/>
      <w:outlineLvl w:val="0"/>
    </w:pPr>
    <w:rPr>
      <w:rFonts w:ascii="Times New Roman" w:eastAsia="宋体" w:hAnsi="Times New Roman" w:cs="Times New Roman"/>
      <w:b/>
      <w:sz w:val="28"/>
      <w:szCs w:val="28"/>
    </w:rPr>
  </w:style>
  <w:style w:type="paragraph" w:styleId="2">
    <w:name w:val="heading 2"/>
    <w:basedOn w:val="a"/>
    <w:next w:val="a"/>
    <w:link w:val="20"/>
    <w:uiPriority w:val="9"/>
    <w:unhideWhenUsed/>
    <w:qFormat/>
    <w:rsid w:val="003A2017"/>
    <w:pPr>
      <w:keepNext/>
      <w:tabs>
        <w:tab w:val="left" w:pos="1418"/>
      </w:tabs>
      <w:snapToGrid w:val="0"/>
      <w:spacing w:afterLines="100" w:after="312" w:line="276" w:lineRule="auto"/>
      <w:jc w:val="center"/>
      <w:outlineLvl w:val="1"/>
    </w:pPr>
    <w:rPr>
      <w:rFonts w:ascii="Times New Roman" w:eastAsia="宋体" w:hAnsi="Times New Roman" w:cs="Times New Roman"/>
      <w:b/>
      <w:bCs/>
      <w:color w:val="000000" w:themeColor="text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4425A"/>
    <w:rPr>
      <w:rFonts w:cs="Times New Roman"/>
      <w:sz w:val="21"/>
      <w:szCs w:val="21"/>
    </w:rPr>
  </w:style>
  <w:style w:type="paragraph" w:styleId="a4">
    <w:name w:val="annotation text"/>
    <w:basedOn w:val="a"/>
    <w:link w:val="a5"/>
    <w:uiPriority w:val="99"/>
    <w:semiHidden/>
    <w:unhideWhenUsed/>
    <w:rsid w:val="0084425A"/>
    <w:pPr>
      <w:autoSpaceDE w:val="0"/>
      <w:autoSpaceDN w:val="0"/>
      <w:adjustRightInd w:val="0"/>
      <w:jc w:val="left"/>
    </w:pPr>
    <w:rPr>
      <w:rFonts w:ascii="Times New Roman" w:eastAsia="等线" w:hAnsi="Times New Roman" w:cs="Times New Roman"/>
      <w:kern w:val="0"/>
      <w:sz w:val="24"/>
      <w:szCs w:val="24"/>
    </w:rPr>
  </w:style>
  <w:style w:type="character" w:customStyle="1" w:styleId="a5">
    <w:name w:val="批注文字 字符"/>
    <w:basedOn w:val="a0"/>
    <w:link w:val="a4"/>
    <w:uiPriority w:val="99"/>
    <w:semiHidden/>
    <w:rsid w:val="0084425A"/>
    <w:rPr>
      <w:rFonts w:ascii="Times New Roman" w:eastAsia="等线" w:hAnsi="Times New Roman" w:cs="Times New Roman"/>
      <w:kern w:val="0"/>
      <w:sz w:val="24"/>
      <w:szCs w:val="24"/>
    </w:rPr>
  </w:style>
  <w:style w:type="paragraph" w:styleId="a6">
    <w:name w:val="Balloon Text"/>
    <w:basedOn w:val="a"/>
    <w:link w:val="a7"/>
    <w:uiPriority w:val="99"/>
    <w:semiHidden/>
    <w:unhideWhenUsed/>
    <w:rsid w:val="0084425A"/>
    <w:rPr>
      <w:sz w:val="18"/>
      <w:szCs w:val="18"/>
    </w:rPr>
  </w:style>
  <w:style w:type="character" w:customStyle="1" w:styleId="a7">
    <w:name w:val="批注框文本 字符"/>
    <w:basedOn w:val="a0"/>
    <w:link w:val="a6"/>
    <w:uiPriority w:val="99"/>
    <w:semiHidden/>
    <w:rsid w:val="0084425A"/>
    <w:rPr>
      <w:sz w:val="18"/>
      <w:szCs w:val="18"/>
    </w:rPr>
  </w:style>
  <w:style w:type="table" w:styleId="a8">
    <w:name w:val="Table Grid"/>
    <w:basedOn w:val="a1"/>
    <w:uiPriority w:val="39"/>
    <w:rsid w:val="00A6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67551"/>
    <w:pPr>
      <w:autoSpaceDE w:val="0"/>
      <w:autoSpaceDN w:val="0"/>
      <w:adjustRightInd w:val="0"/>
      <w:jc w:val="left"/>
    </w:pPr>
    <w:rPr>
      <w:rFonts w:ascii="Times New Roman" w:eastAsia="等线" w:hAnsi="Times New Roman" w:cs="Times New Roman"/>
      <w:kern w:val="0"/>
      <w:sz w:val="24"/>
      <w:szCs w:val="24"/>
    </w:rPr>
  </w:style>
  <w:style w:type="paragraph" w:styleId="a9">
    <w:name w:val="annotation subject"/>
    <w:basedOn w:val="a4"/>
    <w:next w:val="a4"/>
    <w:link w:val="aa"/>
    <w:uiPriority w:val="99"/>
    <w:semiHidden/>
    <w:unhideWhenUsed/>
    <w:rsid w:val="00EE532A"/>
    <w:pPr>
      <w:autoSpaceDE/>
      <w:autoSpaceDN/>
      <w:adjustRightInd/>
    </w:pPr>
    <w:rPr>
      <w:rFonts w:asciiTheme="minorHAnsi" w:eastAsiaTheme="minorEastAsia" w:hAnsiTheme="minorHAnsi" w:cstheme="minorBidi"/>
      <w:b/>
      <w:bCs/>
      <w:kern w:val="2"/>
      <w:sz w:val="21"/>
      <w:szCs w:val="22"/>
    </w:rPr>
  </w:style>
  <w:style w:type="character" w:customStyle="1" w:styleId="aa">
    <w:name w:val="批注主题 字符"/>
    <w:basedOn w:val="a5"/>
    <w:link w:val="a9"/>
    <w:uiPriority w:val="99"/>
    <w:semiHidden/>
    <w:rsid w:val="00EE532A"/>
    <w:rPr>
      <w:rFonts w:ascii="Times New Roman" w:eastAsia="等线" w:hAnsi="Times New Roman" w:cs="Times New Roman"/>
      <w:b/>
      <w:bCs/>
      <w:kern w:val="0"/>
      <w:sz w:val="24"/>
      <w:szCs w:val="24"/>
    </w:rPr>
  </w:style>
  <w:style w:type="paragraph" w:styleId="ab">
    <w:name w:val="header"/>
    <w:basedOn w:val="a"/>
    <w:link w:val="ac"/>
    <w:uiPriority w:val="99"/>
    <w:unhideWhenUsed/>
    <w:rsid w:val="00C36E0D"/>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C36E0D"/>
    <w:rPr>
      <w:sz w:val="18"/>
      <w:szCs w:val="18"/>
    </w:rPr>
  </w:style>
  <w:style w:type="paragraph" w:styleId="ad">
    <w:name w:val="footer"/>
    <w:basedOn w:val="a"/>
    <w:link w:val="ae"/>
    <w:uiPriority w:val="99"/>
    <w:unhideWhenUsed/>
    <w:rsid w:val="00C36E0D"/>
    <w:pPr>
      <w:tabs>
        <w:tab w:val="center" w:pos="4153"/>
        <w:tab w:val="right" w:pos="8306"/>
      </w:tabs>
      <w:snapToGrid w:val="0"/>
      <w:jc w:val="left"/>
    </w:pPr>
    <w:rPr>
      <w:sz w:val="18"/>
      <w:szCs w:val="18"/>
    </w:rPr>
  </w:style>
  <w:style w:type="character" w:customStyle="1" w:styleId="ae">
    <w:name w:val="页脚 字符"/>
    <w:basedOn w:val="a0"/>
    <w:link w:val="ad"/>
    <w:uiPriority w:val="99"/>
    <w:rsid w:val="00C36E0D"/>
    <w:rPr>
      <w:sz w:val="18"/>
      <w:szCs w:val="18"/>
    </w:rPr>
  </w:style>
  <w:style w:type="character" w:customStyle="1" w:styleId="10">
    <w:name w:val="标题 1 字符"/>
    <w:basedOn w:val="a0"/>
    <w:link w:val="1"/>
    <w:uiPriority w:val="1"/>
    <w:rsid w:val="003A2017"/>
    <w:rPr>
      <w:rFonts w:ascii="Times New Roman" w:eastAsia="宋体" w:hAnsi="Times New Roman" w:cs="Times New Roman"/>
      <w:b/>
      <w:sz w:val="28"/>
      <w:szCs w:val="28"/>
    </w:rPr>
  </w:style>
  <w:style w:type="paragraph" w:styleId="af">
    <w:name w:val="Body Text"/>
    <w:basedOn w:val="a"/>
    <w:link w:val="af0"/>
    <w:uiPriority w:val="1"/>
    <w:qFormat/>
    <w:rsid w:val="00D6793E"/>
    <w:pPr>
      <w:autoSpaceDE w:val="0"/>
      <w:autoSpaceDN w:val="0"/>
      <w:adjustRightInd w:val="0"/>
      <w:ind w:left="120"/>
      <w:jc w:val="left"/>
    </w:pPr>
    <w:rPr>
      <w:rFonts w:ascii="Times New Roman" w:eastAsia="等线" w:hAnsi="Times New Roman" w:cs="Times New Roman"/>
      <w:kern w:val="0"/>
      <w:sz w:val="22"/>
    </w:rPr>
  </w:style>
  <w:style w:type="character" w:customStyle="1" w:styleId="af0">
    <w:name w:val="正文文本 字符"/>
    <w:basedOn w:val="a0"/>
    <w:link w:val="af"/>
    <w:uiPriority w:val="1"/>
    <w:rsid w:val="00D6793E"/>
    <w:rPr>
      <w:rFonts w:ascii="Times New Roman" w:eastAsia="等线" w:hAnsi="Times New Roman" w:cs="Times New Roman"/>
      <w:kern w:val="0"/>
      <w:sz w:val="22"/>
    </w:rPr>
  </w:style>
  <w:style w:type="paragraph" w:styleId="af1">
    <w:name w:val="List Paragraph"/>
    <w:basedOn w:val="a"/>
    <w:uiPriority w:val="1"/>
    <w:qFormat/>
    <w:rsid w:val="00D6793E"/>
    <w:pPr>
      <w:autoSpaceDE w:val="0"/>
      <w:autoSpaceDN w:val="0"/>
      <w:adjustRightInd w:val="0"/>
      <w:jc w:val="left"/>
    </w:pPr>
    <w:rPr>
      <w:rFonts w:ascii="Times New Roman" w:eastAsia="等线" w:hAnsi="Times New Roman" w:cs="Times New Roman"/>
      <w:kern w:val="0"/>
      <w:sz w:val="24"/>
      <w:szCs w:val="24"/>
    </w:rPr>
  </w:style>
  <w:style w:type="character" w:customStyle="1" w:styleId="20">
    <w:name w:val="标题 2 字符"/>
    <w:basedOn w:val="a0"/>
    <w:link w:val="2"/>
    <w:uiPriority w:val="9"/>
    <w:rsid w:val="003A2017"/>
    <w:rPr>
      <w:rFonts w:ascii="Times New Roman" w:eastAsia="宋体" w:hAnsi="Times New Roman" w:cs="Times New Roman"/>
      <w:b/>
      <w:bCs/>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F4EA-E372-4443-A415-5465CF5E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Ubica</dc:creator>
  <cp:keywords/>
  <dc:description/>
  <cp:lastModifiedBy>Ubica</cp:lastModifiedBy>
  <cp:revision>92</cp:revision>
  <cp:lastPrinted>2021-03-10T02:28:00Z</cp:lastPrinted>
  <dcterms:created xsi:type="dcterms:W3CDTF">2021-03-04T11:54:00Z</dcterms:created>
  <dcterms:modified xsi:type="dcterms:W3CDTF">2021-03-10T07:51:00Z</dcterms:modified>
</cp:coreProperties>
</file>